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25E6" w14:textId="2C9E4EB9" w:rsidR="00841BCD" w:rsidRPr="005D0E4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5D0E4B" w:rsidRPr="005D0E4B">
        <w:rPr>
          <w:rFonts w:ascii="Arial" w:eastAsia="SimSun" w:hAnsi="Arial" w:cs="Times New Roman"/>
          <w:b/>
          <w:bCs/>
          <w:sz w:val="24"/>
          <w:szCs w:val="20"/>
          <w:lang w:eastAsia="ja-JP"/>
        </w:rPr>
        <w:t>R4-2501486</w:t>
      </w:r>
    </w:p>
    <w:bookmarkEnd w:id="0"/>
    <w:bookmarkEnd w:id="1"/>
    <w:p w14:paraId="7C53B281"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31F409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280E8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DC14453" w14:textId="78421DD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84260">
        <w:rPr>
          <w:rFonts w:ascii="Arial" w:eastAsia="Calibri" w:hAnsi="Arial" w:cs="Arial"/>
          <w:b/>
          <w:bCs/>
          <w:sz w:val="24"/>
        </w:rPr>
        <w:t xml:space="preserve">Discussing requirements for </w:t>
      </w:r>
      <w:proofErr w:type="spellStart"/>
      <w:r w:rsidR="00084260">
        <w:rPr>
          <w:rFonts w:ascii="Arial" w:eastAsia="Calibri" w:hAnsi="Arial" w:cs="Arial"/>
          <w:b/>
          <w:bCs/>
          <w:sz w:val="24"/>
        </w:rPr>
        <w:t>RedCap</w:t>
      </w:r>
      <w:proofErr w:type="spellEnd"/>
      <w:r w:rsidR="00084260">
        <w:rPr>
          <w:rFonts w:ascii="Arial" w:eastAsia="Calibri" w:hAnsi="Arial" w:cs="Arial"/>
          <w:b/>
          <w:bCs/>
          <w:sz w:val="24"/>
        </w:rPr>
        <w:t xml:space="preserve"> support in NR NTN</w:t>
      </w:r>
    </w:p>
    <w:p w14:paraId="2A671FDC" w14:textId="51A5B73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84260">
        <w:rPr>
          <w:rFonts w:ascii="Arial" w:eastAsia="MS Mincho" w:hAnsi="Arial" w:cs="Arial"/>
          <w:b/>
          <w:bCs/>
          <w:sz w:val="24"/>
          <w:szCs w:val="20"/>
        </w:rPr>
        <w:t>7.29.4.1</w:t>
      </w:r>
    </w:p>
    <w:p w14:paraId="513E1090"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50E55C1" w14:textId="77777777" w:rsidR="00E323E9" w:rsidRPr="008F786B" w:rsidRDefault="00E323E9" w:rsidP="00841BCD">
      <w:pPr>
        <w:tabs>
          <w:tab w:val="left" w:pos="1985"/>
        </w:tabs>
        <w:rPr>
          <w:rFonts w:ascii="Arial" w:eastAsia="Calibri" w:hAnsi="Arial" w:cs="Arial"/>
          <w:b/>
          <w:bCs/>
          <w:sz w:val="24"/>
        </w:rPr>
      </w:pPr>
    </w:p>
    <w:p w14:paraId="21FCA71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4FEDF6A" w14:textId="77777777" w:rsidR="00084260" w:rsidRDefault="00084260" w:rsidP="00084260">
      <w:pPr>
        <w:rPr>
          <w:lang w:val="en-US"/>
        </w:rPr>
      </w:pPr>
      <w:r>
        <w:rPr>
          <w:lang w:val="en-US"/>
        </w:rPr>
        <w:t xml:space="preserve">In </w:t>
      </w:r>
      <w:r>
        <w:rPr>
          <w:lang w:val="en-US"/>
        </w:rPr>
        <w:fldChar w:fldCharType="begin"/>
      </w:r>
      <w:r>
        <w:rPr>
          <w:lang w:val="en-US"/>
        </w:rPr>
        <w:instrText xml:space="preserve"> REF _Ref178945353 \r \h </w:instrText>
      </w:r>
      <w:r>
        <w:rPr>
          <w:lang w:val="en-US"/>
        </w:rPr>
      </w:r>
      <w:r>
        <w:rPr>
          <w:lang w:val="en-US"/>
        </w:rPr>
        <w:fldChar w:fldCharType="separate"/>
      </w:r>
      <w:r>
        <w:rPr>
          <w:lang w:val="en-US"/>
        </w:rPr>
        <w:t>[1]</w:t>
      </w:r>
      <w:r>
        <w:rPr>
          <w:lang w:val="en-US"/>
        </w:rPr>
        <w:fldChar w:fldCharType="end"/>
      </w:r>
      <w:r>
        <w:rPr>
          <w:lang w:val="en-US"/>
        </w:rPr>
        <w:t xml:space="preserve">, RAN plenary has approved a new WI for NTN, which will progress the effort of specification for NTN systems in 3GPP technologies in Rel-19 (NR_NTN_PH3). The most recent version of the WID can be found in </w:t>
      </w:r>
      <w:r>
        <w:rPr>
          <w:lang w:val="en-US"/>
        </w:rPr>
        <w:fldChar w:fldCharType="begin"/>
      </w:r>
      <w:r>
        <w:rPr>
          <w:lang w:val="en-US"/>
        </w:rPr>
        <w:instrText xml:space="preserve"> REF _Ref178945346 \r \h </w:instrText>
      </w:r>
      <w:r>
        <w:rPr>
          <w:lang w:val="en-US"/>
        </w:rPr>
      </w:r>
      <w:r>
        <w:rPr>
          <w:lang w:val="en-US"/>
        </w:rPr>
        <w:fldChar w:fldCharType="separate"/>
      </w:r>
      <w:r>
        <w:rPr>
          <w:lang w:val="en-US"/>
        </w:rPr>
        <w:t>[2]</w:t>
      </w:r>
      <w:r>
        <w:rPr>
          <w:lang w:val="en-US"/>
        </w:rPr>
        <w:fldChar w:fldCharType="end"/>
      </w:r>
      <w:r>
        <w:rPr>
          <w:lang w:val="en-US"/>
        </w:rPr>
        <w:t xml:space="preserve">. It includes a handful of objectives such as: </w:t>
      </w:r>
    </w:p>
    <w:p w14:paraId="30CDA460" w14:textId="77777777" w:rsidR="00084260" w:rsidRDefault="00084260" w:rsidP="00084260">
      <w:pPr>
        <w:pStyle w:val="ListParagraph"/>
        <w:numPr>
          <w:ilvl w:val="0"/>
          <w:numId w:val="29"/>
        </w:numPr>
        <w:rPr>
          <w:lang w:val="en-US"/>
        </w:rPr>
      </w:pPr>
      <w:r>
        <w:rPr>
          <w:lang w:val="en-US"/>
        </w:rPr>
        <w:t xml:space="preserve">Downlink Coverage Enhancements </w:t>
      </w:r>
    </w:p>
    <w:p w14:paraId="5C27B98F" w14:textId="77777777" w:rsidR="00084260" w:rsidRDefault="00084260" w:rsidP="00084260">
      <w:pPr>
        <w:pStyle w:val="ListParagraph"/>
        <w:numPr>
          <w:ilvl w:val="0"/>
          <w:numId w:val="29"/>
        </w:numPr>
        <w:rPr>
          <w:lang w:val="en-US"/>
        </w:rPr>
      </w:pPr>
      <w:r>
        <w:rPr>
          <w:lang w:val="en-US"/>
        </w:rPr>
        <w:t>Uplink Capacity/Coverage Enhancements</w:t>
      </w:r>
    </w:p>
    <w:p w14:paraId="7B06961C" w14:textId="77777777" w:rsidR="00084260" w:rsidRDefault="00084260" w:rsidP="00084260">
      <w:pPr>
        <w:pStyle w:val="ListParagraph"/>
        <w:numPr>
          <w:ilvl w:val="0"/>
          <w:numId w:val="29"/>
        </w:numPr>
        <w:rPr>
          <w:lang w:val="en-US"/>
        </w:rPr>
      </w:pPr>
      <w:r>
        <w:rPr>
          <w:lang w:val="en-US"/>
        </w:rPr>
        <w:t>Signaling of the intended service area of a broadcast service (MBS broadcast)</w:t>
      </w:r>
    </w:p>
    <w:p w14:paraId="46B9B758" w14:textId="77777777" w:rsidR="00084260" w:rsidRDefault="00084260" w:rsidP="00084260">
      <w:pPr>
        <w:pStyle w:val="ListParagraph"/>
        <w:numPr>
          <w:ilvl w:val="0"/>
          <w:numId w:val="29"/>
        </w:numPr>
        <w:rPr>
          <w:lang w:val="en-US"/>
        </w:rPr>
      </w:pPr>
      <w:r>
        <w:rPr>
          <w:lang w:val="en-US"/>
        </w:rPr>
        <w:t>Support of regenerative payload for NTN systems</w:t>
      </w:r>
    </w:p>
    <w:p w14:paraId="5DBB7885" w14:textId="77777777" w:rsidR="00084260" w:rsidRDefault="00084260" w:rsidP="00084260">
      <w:pPr>
        <w:pStyle w:val="ListParagraph"/>
        <w:numPr>
          <w:ilvl w:val="0"/>
          <w:numId w:val="29"/>
        </w:numPr>
        <w:rPr>
          <w:lang w:val="en-US"/>
        </w:rPr>
      </w:pPr>
      <w:r>
        <w:rPr>
          <w:lang w:val="en-US"/>
        </w:rPr>
        <w:t xml:space="preserve">Support of Rel-17 and Rel-18 </w:t>
      </w:r>
      <w:proofErr w:type="spellStart"/>
      <w:r>
        <w:rPr>
          <w:lang w:val="en-US"/>
        </w:rPr>
        <w:t>RedCap</w:t>
      </w:r>
      <w:proofErr w:type="spellEnd"/>
      <w:r>
        <w:rPr>
          <w:lang w:val="en-US"/>
        </w:rPr>
        <w:t xml:space="preserve"> and (e)</w:t>
      </w:r>
      <w:proofErr w:type="spellStart"/>
      <w:r>
        <w:rPr>
          <w:lang w:val="en-US"/>
        </w:rPr>
        <w:t>RedCap</w:t>
      </w:r>
      <w:proofErr w:type="spellEnd"/>
      <w:r>
        <w:rPr>
          <w:lang w:val="en-US"/>
        </w:rPr>
        <w:t xml:space="preserve"> UEs in NTN systems</w:t>
      </w:r>
    </w:p>
    <w:p w14:paraId="7C0B6014" w14:textId="77777777" w:rsidR="00084260" w:rsidRDefault="00084260" w:rsidP="00084260">
      <w:pPr>
        <w:rPr>
          <w:lang w:val="en-US"/>
        </w:rPr>
      </w:pPr>
    </w:p>
    <w:p w14:paraId="5B71D055" w14:textId="1BAC90D2" w:rsidR="00084260" w:rsidRDefault="00084260" w:rsidP="00084260">
      <w:pPr>
        <w:rPr>
          <w:lang w:val="en-US"/>
        </w:rPr>
      </w:pPr>
      <w:r>
        <w:rPr>
          <w:lang w:val="en-US"/>
        </w:rPr>
        <w:t>This document is related to the 5</w:t>
      </w:r>
      <w:r w:rsidRPr="00992CE7">
        <w:rPr>
          <w:vertAlign w:val="superscript"/>
          <w:lang w:val="en-US"/>
        </w:rPr>
        <w:t>th</w:t>
      </w:r>
      <w:r>
        <w:rPr>
          <w:lang w:val="en-US"/>
        </w:rPr>
        <w:t xml:space="preserve"> topic on the list above: </w:t>
      </w:r>
      <w:proofErr w:type="spellStart"/>
      <w:r>
        <w:rPr>
          <w:lang w:val="en-US"/>
        </w:rPr>
        <w:t>RedCap</w:t>
      </w:r>
      <w:proofErr w:type="spellEnd"/>
      <w:r>
        <w:rPr>
          <w:lang w:val="en-US"/>
        </w:rPr>
        <w:t xml:space="preserve"> deployments over NTN. The discussions for this objective were initiated in the previous meeting RAN4 #112. And as the outcome of the discussion a way-forward (WF) document was approved which contains a set of agreements and other way-forward (for further discussion) guidance for currently identified open issues </w:t>
      </w:r>
      <w:r>
        <w:rPr>
          <w:lang w:val="en-US"/>
        </w:rPr>
        <w:fldChar w:fldCharType="begin"/>
      </w:r>
      <w:r>
        <w:rPr>
          <w:lang w:val="en-US"/>
        </w:rPr>
        <w:instrText xml:space="preserve"> REF _Ref179019130 \r \h </w:instrText>
      </w:r>
      <w:r>
        <w:rPr>
          <w:lang w:val="en-US"/>
        </w:rPr>
      </w:r>
      <w:r>
        <w:rPr>
          <w:lang w:val="en-US"/>
        </w:rPr>
        <w:fldChar w:fldCharType="separate"/>
      </w:r>
      <w:r>
        <w:rPr>
          <w:lang w:val="en-US"/>
        </w:rPr>
        <w:t>[3]</w:t>
      </w:r>
      <w:r>
        <w:rPr>
          <w:lang w:val="en-US"/>
        </w:rPr>
        <w:fldChar w:fldCharType="end"/>
      </w:r>
      <w:r>
        <w:rPr>
          <w:lang w:val="en-US"/>
        </w:rPr>
        <w:t xml:space="preserve">.  The discussions further ensued in RAN4 #113, which culminated in the WF found in </w:t>
      </w:r>
      <w:r>
        <w:rPr>
          <w:lang w:val="en-US"/>
        </w:rPr>
        <w:fldChar w:fldCharType="begin"/>
      </w:r>
      <w:r>
        <w:rPr>
          <w:lang w:val="en-US"/>
        </w:rPr>
        <w:instrText xml:space="preserve"> REF _Ref181977965 \r \h </w:instrText>
      </w:r>
      <w:r>
        <w:rPr>
          <w:lang w:val="en-US"/>
        </w:rPr>
      </w:r>
      <w:r>
        <w:rPr>
          <w:lang w:val="en-US"/>
        </w:rPr>
        <w:fldChar w:fldCharType="separate"/>
      </w:r>
      <w:r>
        <w:rPr>
          <w:lang w:val="en-US"/>
        </w:rPr>
        <w:t>[4]</w:t>
      </w:r>
      <w:r>
        <w:rPr>
          <w:lang w:val="en-US"/>
        </w:rPr>
        <w:fldChar w:fldCharType="end"/>
      </w:r>
      <w:r>
        <w:rPr>
          <w:lang w:val="en-US"/>
        </w:rPr>
        <w:t>.</w:t>
      </w:r>
    </w:p>
    <w:p w14:paraId="38522A77" w14:textId="77777777" w:rsidR="00084260" w:rsidRPr="00E42B45" w:rsidRDefault="00084260" w:rsidP="00084260">
      <w:pPr>
        <w:rPr>
          <w:lang w:val="en-US"/>
        </w:rPr>
      </w:pPr>
      <w:r>
        <w:rPr>
          <w:lang w:val="en-US"/>
        </w:rPr>
        <w:t xml:space="preserve">In this document we provide our views, related to the RAN4 impact of the introduction of </w:t>
      </w:r>
      <w:proofErr w:type="spellStart"/>
      <w:r>
        <w:rPr>
          <w:lang w:val="en-US"/>
        </w:rPr>
        <w:t>RedCap</w:t>
      </w:r>
      <w:proofErr w:type="spellEnd"/>
      <w:r>
        <w:rPr>
          <w:lang w:val="en-US"/>
        </w:rPr>
        <w:t xml:space="preserve"> over NTN considering the scope of this WI and/or the open issues already identified in the WF. </w:t>
      </w:r>
    </w:p>
    <w:p w14:paraId="6B652653" w14:textId="77777777" w:rsidR="0060543D" w:rsidRPr="00084260" w:rsidRDefault="0060543D" w:rsidP="005C23A4">
      <w:pPr>
        <w:rPr>
          <w:lang w:val="en-US"/>
        </w:rPr>
      </w:pPr>
    </w:p>
    <w:p w14:paraId="227C306C" w14:textId="77777777" w:rsidR="00B66B7D" w:rsidRPr="008F786B" w:rsidRDefault="003B659E" w:rsidP="00B66B7D">
      <w:pPr>
        <w:pStyle w:val="RAN4H1"/>
      </w:pPr>
      <w:bookmarkStart w:id="4" w:name="_Toc116995842"/>
      <w:r w:rsidRPr="008F786B">
        <w:t>Discussion</w:t>
      </w:r>
      <w:bookmarkEnd w:id="4"/>
    </w:p>
    <w:p w14:paraId="115A52DD" w14:textId="47FF538B" w:rsidR="00B66B7D" w:rsidRDefault="00084260" w:rsidP="00B66B7D">
      <w:r>
        <w:t xml:space="preserve">In the present document we will discuss some of the open issues presented in the previous WF </w:t>
      </w:r>
      <w:r>
        <w:fldChar w:fldCharType="begin"/>
      </w:r>
      <w:r>
        <w:instrText xml:space="preserve"> REF _Ref189756666 \r \h </w:instrText>
      </w:r>
      <w:r>
        <w:fldChar w:fldCharType="separate"/>
      </w:r>
      <w:r>
        <w:t>[4]</w:t>
      </w:r>
      <w:r>
        <w:fldChar w:fldCharType="end"/>
      </w:r>
      <w:r>
        <w:t>, as listed below:</w:t>
      </w:r>
    </w:p>
    <w:p w14:paraId="481B6470" w14:textId="4B88DF95" w:rsidR="00084260" w:rsidRPr="005E1FD5" w:rsidRDefault="00084260" w:rsidP="00084260">
      <w:pPr>
        <w:pStyle w:val="ListParagraph"/>
        <w:numPr>
          <w:ilvl w:val="0"/>
          <w:numId w:val="30"/>
        </w:numPr>
      </w:pPr>
      <w:r w:rsidRPr="005E1FD5">
        <w:t>Issue 1-1-2 The Requirements to be further determined</w:t>
      </w:r>
    </w:p>
    <w:p w14:paraId="6CBB8083" w14:textId="171F7251" w:rsidR="00084260" w:rsidRPr="005E1FD5" w:rsidRDefault="00084260" w:rsidP="00084260">
      <w:pPr>
        <w:pStyle w:val="ListParagraph"/>
        <w:numPr>
          <w:ilvl w:val="0"/>
          <w:numId w:val="30"/>
        </w:numPr>
      </w:pPr>
      <w:r w:rsidRPr="005E1FD5">
        <w:t>Issue 1-2-4: Multiple SMTCs</w:t>
      </w:r>
    </w:p>
    <w:p w14:paraId="4E40FB7D" w14:textId="5B688DE1" w:rsidR="00084260" w:rsidRPr="005E1FD5" w:rsidRDefault="00084260" w:rsidP="00084260">
      <w:pPr>
        <w:pStyle w:val="ListParagraph"/>
        <w:numPr>
          <w:ilvl w:val="0"/>
          <w:numId w:val="30"/>
        </w:numPr>
      </w:pPr>
      <w:r w:rsidRPr="005E1FD5">
        <w:t>Issue 1-2-</w:t>
      </w:r>
      <w:r w:rsidR="00B75BD7" w:rsidRPr="005E1FD5">
        <w:t>8</w:t>
      </w:r>
      <w:r w:rsidRPr="005E1FD5">
        <w:t xml:space="preserve">: </w:t>
      </w:r>
      <w:r w:rsidR="00B75BD7" w:rsidRPr="005E1FD5">
        <w:t>Other features</w:t>
      </w:r>
    </w:p>
    <w:p w14:paraId="7BD4021D" w14:textId="0DDB2BE7" w:rsidR="00084260" w:rsidRPr="005E1FD5" w:rsidRDefault="00084260" w:rsidP="00084260">
      <w:pPr>
        <w:pStyle w:val="ListParagraph"/>
        <w:numPr>
          <w:ilvl w:val="0"/>
          <w:numId w:val="30"/>
        </w:numPr>
        <w:rPr>
          <w:b/>
          <w:bCs/>
        </w:rPr>
      </w:pPr>
      <w:r w:rsidRPr="005E1FD5">
        <w:t>Issue 2-4-1</w:t>
      </w:r>
      <w:r w:rsidRPr="005E1FD5">
        <w:rPr>
          <w:rFonts w:cs="Times New Roman"/>
          <w:b/>
          <w:bCs/>
          <w:i/>
          <w:iCs/>
          <w:szCs w:val="28"/>
          <w:lang w:val="en-US" w:eastAsia="ko-KR"/>
        </w:rPr>
        <w:t xml:space="preserve"> </w:t>
      </w:r>
      <w:r w:rsidRPr="005D0E4B">
        <w:t>Measurement requirements for 1Rx/2Rx (e)</w:t>
      </w:r>
      <w:proofErr w:type="spellStart"/>
      <w:r w:rsidRPr="005D0E4B">
        <w:t>RedCap</w:t>
      </w:r>
      <w:proofErr w:type="spellEnd"/>
      <w:r w:rsidRPr="005D0E4B">
        <w:t xml:space="preserve"> UEs with FR1-NTN</w:t>
      </w:r>
    </w:p>
    <w:p w14:paraId="396AEC42" w14:textId="64DF4E76" w:rsidR="00084260" w:rsidRPr="005E1FD5" w:rsidRDefault="00084260" w:rsidP="00084260">
      <w:pPr>
        <w:pStyle w:val="ListParagraph"/>
        <w:numPr>
          <w:ilvl w:val="0"/>
          <w:numId w:val="30"/>
        </w:numPr>
      </w:pPr>
      <w:r w:rsidRPr="005E1FD5">
        <w:t>Issue 3-2-1: The impact on NR Handover due to HD-FDD</w:t>
      </w:r>
    </w:p>
    <w:p w14:paraId="23C6FDB0" w14:textId="56020651" w:rsidR="00084260" w:rsidRPr="005E1FD5" w:rsidRDefault="00084260" w:rsidP="00084260">
      <w:pPr>
        <w:pStyle w:val="ListParagraph"/>
        <w:numPr>
          <w:ilvl w:val="0"/>
          <w:numId w:val="30"/>
        </w:numPr>
      </w:pPr>
      <w:r w:rsidRPr="005E1FD5">
        <w:t>Issue 4: How to declare the capabilities for (e)</w:t>
      </w:r>
      <w:proofErr w:type="spellStart"/>
      <w:r w:rsidRPr="005E1FD5">
        <w:t>RedCap</w:t>
      </w:r>
      <w:proofErr w:type="spellEnd"/>
      <w:r w:rsidRPr="005E1FD5">
        <w:t xml:space="preserve"> UE with FR1-NTN bands?</w:t>
      </w:r>
    </w:p>
    <w:p w14:paraId="661C649D" w14:textId="77777777" w:rsidR="00084260" w:rsidRPr="008F786B" w:rsidRDefault="00084260" w:rsidP="00084260">
      <w:pPr>
        <w:pStyle w:val="ListParagraph"/>
      </w:pPr>
    </w:p>
    <w:p w14:paraId="5129A188" w14:textId="2B3E43C5" w:rsidR="00307EE8" w:rsidRDefault="00B45E3B" w:rsidP="005C7EFA">
      <w:pPr>
        <w:pStyle w:val="RAN4H2"/>
      </w:pPr>
      <w:r>
        <w:t>Requirements to be further determined</w:t>
      </w:r>
    </w:p>
    <w:p w14:paraId="71C85D56" w14:textId="396A6656" w:rsidR="000F66B7" w:rsidRDefault="000F66B7" w:rsidP="000F66B7">
      <w:r>
        <w:t xml:space="preserve">RAN4 has discussed SDT and MDT requirements for </w:t>
      </w:r>
      <w:proofErr w:type="spellStart"/>
      <w:r>
        <w:t>RedCap</w:t>
      </w:r>
      <w:proofErr w:type="spellEnd"/>
      <w:r>
        <w:t xml:space="preserve"> UEs over NTN, and several different views were captured in the WF, as provided in the box below:</w:t>
      </w:r>
    </w:p>
    <w:tbl>
      <w:tblPr>
        <w:tblStyle w:val="TableGrid"/>
        <w:tblW w:w="0" w:type="auto"/>
        <w:tblLook w:val="04A0" w:firstRow="1" w:lastRow="0" w:firstColumn="1" w:lastColumn="0" w:noHBand="0" w:noVBand="1"/>
      </w:tblPr>
      <w:tblGrid>
        <w:gridCol w:w="9617"/>
      </w:tblGrid>
      <w:tr w:rsidR="000F66B7" w14:paraId="19457162" w14:textId="77777777" w:rsidTr="000F66B7">
        <w:tc>
          <w:tcPr>
            <w:tcW w:w="9617" w:type="dxa"/>
          </w:tcPr>
          <w:p w14:paraId="44FB0B55" w14:textId="77777777" w:rsidR="005E1FD5" w:rsidRPr="005E1FD5" w:rsidRDefault="005E1FD5" w:rsidP="005E1FD5">
            <w:pPr>
              <w:rPr>
                <w:lang w:val="en-US"/>
              </w:rPr>
            </w:pPr>
          </w:p>
          <w:p w14:paraId="6DEE9FAE" w14:textId="77777777" w:rsidR="005E1FD5" w:rsidRPr="005E1FD5" w:rsidRDefault="005E1FD5" w:rsidP="005E1FD5">
            <w:pPr>
              <w:rPr>
                <w:b/>
                <w:bCs/>
                <w:u w:val="single"/>
                <w:lang w:val="en-US"/>
              </w:rPr>
            </w:pPr>
            <w:r w:rsidRPr="005E1FD5">
              <w:rPr>
                <w:b/>
                <w:bCs/>
                <w:u w:val="single"/>
                <w:lang w:val="en-US"/>
              </w:rPr>
              <w:t>Issue 1-1-2: The Requirements to be further determined</w:t>
            </w:r>
          </w:p>
          <w:p w14:paraId="7670D450" w14:textId="77777777" w:rsidR="005E1FD5" w:rsidRPr="005E1FD5" w:rsidRDefault="005E1FD5" w:rsidP="005E1FD5">
            <w:pPr>
              <w:rPr>
                <w:b/>
                <w:lang w:val="en-US"/>
              </w:rPr>
            </w:pPr>
            <w:r w:rsidRPr="005E1FD5">
              <w:rPr>
                <w:b/>
                <w:lang w:val="en-US"/>
              </w:rPr>
              <w:t>&lt;Way Forward&gt;:</w:t>
            </w:r>
          </w:p>
          <w:p w14:paraId="618DF5E0" w14:textId="77777777" w:rsidR="005E1FD5" w:rsidRPr="005E1FD5" w:rsidRDefault="005E1FD5" w:rsidP="005E1FD5">
            <w:pPr>
              <w:numPr>
                <w:ilvl w:val="1"/>
                <w:numId w:val="33"/>
              </w:numPr>
              <w:rPr>
                <w:lang w:val="en-US"/>
              </w:rPr>
            </w:pPr>
            <w:r w:rsidRPr="005E1FD5">
              <w:rPr>
                <w:lang w:val="en-US"/>
              </w:rPr>
              <w:lastRenderedPageBreak/>
              <w:t>For SDT requirements in RRC_INACTIVE state,</w:t>
            </w:r>
          </w:p>
          <w:p w14:paraId="1E1E731C" w14:textId="77777777" w:rsidR="005E1FD5" w:rsidRPr="005E1FD5" w:rsidRDefault="005E1FD5" w:rsidP="005E1FD5">
            <w:pPr>
              <w:numPr>
                <w:ilvl w:val="2"/>
                <w:numId w:val="33"/>
              </w:numPr>
            </w:pPr>
            <w:r w:rsidRPr="005E1FD5">
              <w:t xml:space="preserve">Proposal 1 (CATT, QC, OPPO, HW): RAN4 to remove the RSRP-based TA validation in </w:t>
            </w:r>
            <w:r w:rsidRPr="005E1FD5">
              <w:rPr>
                <w:lang w:val="en-US"/>
              </w:rPr>
              <w:t>CG-</w:t>
            </w:r>
            <w:r w:rsidRPr="005E1FD5">
              <w:t>SDT RRM requirements.</w:t>
            </w:r>
          </w:p>
          <w:p w14:paraId="1132BFC2" w14:textId="77777777" w:rsidR="005E1FD5" w:rsidRPr="005E1FD5" w:rsidRDefault="005E1FD5" w:rsidP="005E1FD5">
            <w:pPr>
              <w:numPr>
                <w:ilvl w:val="3"/>
                <w:numId w:val="33"/>
              </w:numPr>
            </w:pPr>
            <w:r w:rsidRPr="005E1FD5">
              <w:rPr>
                <w:iCs/>
                <w:lang w:val="en-US"/>
              </w:rPr>
              <w:t xml:space="preserve">Proposal 1a (CATT): </w:t>
            </w:r>
            <w:r w:rsidRPr="005E1FD5">
              <w:t xml:space="preserve">TA validation based on the RSRP change criterion for </w:t>
            </w:r>
            <w:proofErr w:type="spellStart"/>
            <w:r w:rsidRPr="005E1FD5">
              <w:t>RedCap</w:t>
            </w:r>
            <w:proofErr w:type="spellEnd"/>
            <w:r w:rsidRPr="005E1FD5">
              <w:t xml:space="preserve"> in TN shall be removed and the requirements may refer to the PUR requirements for IoT for NTN.</w:t>
            </w:r>
          </w:p>
          <w:p w14:paraId="62F32CFF" w14:textId="61D5E5EC" w:rsidR="005E1FD5" w:rsidRPr="005E1FD5" w:rsidRDefault="005E1FD5" w:rsidP="005E1FD5">
            <w:pPr>
              <w:numPr>
                <w:ilvl w:val="3"/>
                <w:numId w:val="33"/>
              </w:numPr>
              <w:rPr>
                <w:iCs/>
                <w:lang w:val="en-US"/>
              </w:rPr>
            </w:pPr>
            <w:r w:rsidRPr="005E1FD5">
              <w:rPr>
                <w:iCs/>
                <w:lang w:val="en-US"/>
              </w:rPr>
              <w:t xml:space="preserve">Proposal 1b (LG): </w:t>
            </w:r>
            <w:r w:rsidRPr="005E1FD5">
              <w:rPr>
                <w:bCs/>
                <w:iCs/>
                <w:lang w:val="en-US"/>
              </w:rPr>
              <w:t>TA validation procedure can be skipped for SDT requirements if NTN (e)</w:t>
            </w:r>
            <w:proofErr w:type="spellStart"/>
            <w:r w:rsidRPr="005E1FD5">
              <w:rPr>
                <w:bCs/>
                <w:iCs/>
                <w:lang w:val="en-US"/>
              </w:rPr>
              <w:t>RedCap</w:t>
            </w:r>
            <w:proofErr w:type="spellEnd"/>
            <w:r w:rsidRPr="005E1FD5">
              <w:rPr>
                <w:bCs/>
                <w:iCs/>
                <w:lang w:val="en-US"/>
              </w:rPr>
              <w:t xml:space="preserve"> UE supports RACH-less HO or UE updates the </w:t>
            </w:r>
            <m:oMath>
              <m:sSubSup>
                <m:sSubSupPr>
                  <m:ctrlPr>
                    <w:rPr>
                      <w:rFonts w:ascii="Cambria Math" w:hAnsi="Cambria Math"/>
                      <w:bCs/>
                      <w:iCs/>
                      <w:lang w:val="en-US"/>
                    </w:rPr>
                  </m:ctrlPr>
                </m:sSubSupPr>
                <m:e>
                  <m:r>
                    <m:rPr>
                      <m:sty m:val="p"/>
                    </m:rPr>
                    <w:rPr>
                      <w:rFonts w:ascii="Cambria Math" w:hAnsi="Cambria Math"/>
                      <w:lang w:val="en-US"/>
                    </w:rPr>
                    <m:t>N</m:t>
                  </m:r>
                </m:e>
                <m:sub>
                  <m:r>
                    <m:rPr>
                      <m:sty m:val="p"/>
                    </m:rPr>
                    <w:rPr>
                      <w:rFonts w:ascii="Cambria Math" w:hAnsi="Cambria Math"/>
                      <w:lang w:val="en-US"/>
                    </w:rPr>
                    <m:t>TA,adj</m:t>
                  </m:r>
                </m:sub>
                <m:sup>
                  <m:r>
                    <m:rPr>
                      <m:sty m:val="p"/>
                    </m:rPr>
                    <w:rPr>
                      <w:rFonts w:ascii="Cambria Math" w:hAnsi="Cambria Math"/>
                      <w:lang w:val="en-US"/>
                    </w:rPr>
                    <m:t>common</m:t>
                  </m:r>
                </m:sup>
              </m:sSubSup>
            </m:oMath>
            <w:r w:rsidRPr="005E1FD5">
              <w:rPr>
                <w:bCs/>
                <w:iCs/>
                <w:lang w:val="en-US"/>
              </w:rPr>
              <w:t xml:space="preserve"> and </w:t>
            </w:r>
            <m:oMath>
              <m:sSubSup>
                <m:sSubSupPr>
                  <m:ctrlPr>
                    <w:rPr>
                      <w:rFonts w:ascii="Cambria Math" w:hAnsi="Cambria Math"/>
                      <w:bCs/>
                      <w:iCs/>
                      <w:lang w:val="en-US"/>
                    </w:rPr>
                  </m:ctrlPr>
                </m:sSubSupPr>
                <m:e>
                  <m:r>
                    <m:rPr>
                      <m:sty m:val="p"/>
                    </m:rPr>
                    <w:rPr>
                      <w:rFonts w:ascii="Cambria Math" w:hAnsi="Cambria Math"/>
                      <w:lang w:val="en-US"/>
                    </w:rPr>
                    <m:t>N</m:t>
                  </m:r>
                </m:e>
                <m:sub>
                  <m:r>
                    <m:rPr>
                      <m:sty m:val="p"/>
                    </m:rPr>
                    <w:rPr>
                      <w:rFonts w:ascii="Cambria Math" w:hAnsi="Cambria Math"/>
                      <w:lang w:val="en-US"/>
                    </w:rPr>
                    <m:t>TA,adj</m:t>
                  </m:r>
                </m:sub>
                <m:sup>
                  <m:r>
                    <m:rPr>
                      <m:sty m:val="p"/>
                    </m:rPr>
                    <w:rPr>
                      <w:rFonts w:ascii="Cambria Math" w:hAnsi="Cambria Math"/>
                      <w:lang w:val="en-US"/>
                    </w:rPr>
                    <m:t>UE</m:t>
                  </m:r>
                </m:sup>
              </m:sSubSup>
            </m:oMath>
            <w:r w:rsidRPr="005E1FD5">
              <w:rPr>
                <w:bCs/>
                <w:iCs/>
                <w:lang w:val="en-US"/>
              </w:rPr>
              <w:t xml:space="preserve"> before transmission.</w:t>
            </w:r>
          </w:p>
          <w:p w14:paraId="26122355" w14:textId="2EF70AA5" w:rsidR="005E1FD5" w:rsidRPr="005E1FD5" w:rsidRDefault="005E1FD5" w:rsidP="005E1FD5">
            <w:pPr>
              <w:numPr>
                <w:ilvl w:val="3"/>
                <w:numId w:val="33"/>
              </w:numPr>
              <w:rPr>
                <w:iCs/>
                <w:lang w:val="en-US"/>
              </w:rPr>
            </w:pPr>
            <w:bookmarkStart w:id="5" w:name="OLE_LINK28"/>
            <w:bookmarkStart w:id="6" w:name="OLE_LINK29"/>
            <w:r w:rsidRPr="005E1FD5">
              <w:rPr>
                <w:iCs/>
                <w:lang w:val="en-US"/>
              </w:rPr>
              <w:t xml:space="preserve">Proposal 1c (CMCC): </w:t>
            </w:r>
            <w:bookmarkEnd w:id="5"/>
            <w:bookmarkEnd w:id="6"/>
            <w:r w:rsidRPr="005E1FD5">
              <w:rPr>
                <w:bCs/>
                <w:iCs/>
                <w:lang w:val="en-US"/>
              </w:rPr>
              <w:t>For CG-SDT TA validation, define the requirement based on cg-SDT-</w:t>
            </w:r>
            <w:proofErr w:type="spellStart"/>
            <w:r w:rsidRPr="005E1FD5">
              <w:rPr>
                <w:bCs/>
                <w:iCs/>
                <w:lang w:val="en-US"/>
              </w:rPr>
              <w:t>timeAlignmentTimer</w:t>
            </w:r>
            <w:proofErr w:type="spellEnd"/>
            <w:r w:rsidRPr="005E1FD5">
              <w:rPr>
                <w:bCs/>
                <w:iCs/>
                <w:lang w:val="en-US"/>
              </w:rPr>
              <w:t xml:space="preserve"> and valid values for </w:t>
            </w:r>
            <m:oMath>
              <m:sSub>
                <m:sSubPr>
                  <m:ctrlPr>
                    <w:rPr>
                      <w:rFonts w:ascii="Cambria Math" w:hAnsi="Cambria Math"/>
                      <w:bCs/>
                      <w:iCs/>
                      <w:lang w:val="en-US"/>
                    </w:rPr>
                  </m:ctrlPr>
                </m:sSubPr>
                <m:e>
                  <m:r>
                    <m:rPr>
                      <m:sty m:val="p"/>
                    </m:rPr>
                    <w:rPr>
                      <w:rFonts w:ascii="Cambria Math" w:hAnsi="Cambria Math"/>
                      <w:lang w:val="en-US"/>
                    </w:rPr>
                    <m:t>N</m:t>
                  </m:r>
                </m:e>
                <m:sub>
                  <m:r>
                    <m:rPr>
                      <m:nor/>
                    </m:rPr>
                    <w:rPr>
                      <w:bCs/>
                      <w:iCs/>
                      <w:lang w:val="en-US"/>
                    </w:rPr>
                    <m:t>TA</m:t>
                  </m:r>
                </m:sub>
              </m:sSub>
              <m:r>
                <m:rPr>
                  <m:sty m:val="p"/>
                </m:rPr>
                <w:rPr>
                  <w:rFonts w:ascii="Cambria Math" w:hAnsi="Cambria Math"/>
                  <w:lang w:val="en-US"/>
                </w:rPr>
                <m:t xml:space="preserve">, </m:t>
              </m:r>
              <m:sSub>
                <m:sSubPr>
                  <m:ctrlPr>
                    <w:rPr>
                      <w:rFonts w:ascii="Cambria Math" w:hAnsi="Cambria Math"/>
                      <w:bCs/>
                      <w:iCs/>
                      <w:lang w:val="en-US"/>
                    </w:rPr>
                  </m:ctrlPr>
                </m:sSubPr>
                <m:e>
                  <m:r>
                    <m:rPr>
                      <m:sty m:val="p"/>
                    </m:rPr>
                    <w:rPr>
                      <w:rFonts w:ascii="Cambria Math" w:hAnsi="Cambria Math"/>
                      <w:lang w:val="en-US"/>
                    </w:rPr>
                    <m:t>N</m:t>
                  </m:r>
                </m:e>
                <m:sub>
                  <m:r>
                    <m:rPr>
                      <m:nor/>
                    </m:rPr>
                    <w:rPr>
                      <w:bCs/>
                      <w:iCs/>
                      <w:lang w:val="en-US"/>
                    </w:rPr>
                    <m:t>TA,offset</m:t>
                  </m:r>
                </m:sub>
              </m:sSub>
              <m:r>
                <m:rPr>
                  <m:sty m:val="p"/>
                </m:rPr>
                <w:rPr>
                  <w:rFonts w:ascii="Cambria Math" w:hAnsi="Cambria Math"/>
                  <w:lang w:val="en-US"/>
                </w:rPr>
                <m:t xml:space="preserve">, </m:t>
              </m:r>
              <m:sSubSup>
                <m:sSubSupPr>
                  <m:ctrlPr>
                    <w:rPr>
                      <w:rFonts w:ascii="Cambria Math" w:hAnsi="Cambria Math"/>
                      <w:bCs/>
                      <w:iCs/>
                      <w:lang w:val="en-US"/>
                    </w:rPr>
                  </m:ctrlPr>
                </m:sSubSupPr>
                <m:e>
                  <m:r>
                    <m:rPr>
                      <m:sty m:val="p"/>
                    </m:rPr>
                    <w:rPr>
                      <w:rFonts w:ascii="Cambria Math" w:hAnsi="Cambria Math"/>
                      <w:lang w:val="en-US"/>
                    </w:rPr>
                    <m:t>N</m:t>
                  </m:r>
                </m:e>
                <m:sub>
                  <m:r>
                    <m:rPr>
                      <m:nor/>
                    </m:rPr>
                    <w:rPr>
                      <w:bCs/>
                      <w:iCs/>
                      <w:lang w:val="en-US"/>
                    </w:rPr>
                    <m:t>TA,adj</m:t>
                  </m:r>
                </m:sub>
                <m:sup>
                  <m:r>
                    <m:rPr>
                      <m:nor/>
                    </m:rPr>
                    <w:rPr>
                      <w:bCs/>
                      <w:iCs/>
                      <w:lang w:val="en-US"/>
                    </w:rPr>
                    <m:t>common</m:t>
                  </m:r>
                </m:sup>
              </m:sSubSup>
            </m:oMath>
            <w:r w:rsidRPr="005E1FD5">
              <w:rPr>
                <w:bCs/>
                <w:iCs/>
                <w:lang w:val="en-US"/>
              </w:rPr>
              <w:t xml:space="preserve"> and </w:t>
            </w:r>
            <m:oMath>
              <m:r>
                <m:rPr>
                  <m:sty m:val="p"/>
                </m:rPr>
                <w:rPr>
                  <w:rFonts w:ascii="Cambria Math" w:hAnsi="Cambria Math"/>
                  <w:lang w:val="en-US"/>
                </w:rPr>
                <m:t xml:space="preserve">  </m:t>
              </m:r>
              <m:sSubSup>
                <m:sSubSupPr>
                  <m:ctrlPr>
                    <w:rPr>
                      <w:rFonts w:ascii="Cambria Math" w:hAnsi="Cambria Math"/>
                      <w:bCs/>
                      <w:iCs/>
                      <w:lang w:val="en-US"/>
                    </w:rPr>
                  </m:ctrlPr>
                </m:sSubSupPr>
                <m:e>
                  <m:r>
                    <m:rPr>
                      <m:sty m:val="p"/>
                    </m:rPr>
                    <w:rPr>
                      <w:rFonts w:ascii="Cambria Math" w:hAnsi="Cambria Math"/>
                      <w:lang w:val="en-US"/>
                    </w:rPr>
                    <m:t>N</m:t>
                  </m:r>
                </m:e>
                <m:sub>
                  <m:r>
                    <m:rPr>
                      <m:nor/>
                    </m:rPr>
                    <w:rPr>
                      <w:bCs/>
                      <w:iCs/>
                      <w:lang w:val="en-US"/>
                    </w:rPr>
                    <m:t>TA,adj</m:t>
                  </m:r>
                </m:sub>
                <m:sup>
                  <m:r>
                    <m:rPr>
                      <m:nor/>
                    </m:rPr>
                    <w:rPr>
                      <w:bCs/>
                      <w:iCs/>
                      <w:lang w:val="en-US"/>
                    </w:rPr>
                    <m:t>UE</m:t>
                  </m:r>
                </m:sup>
              </m:sSubSup>
            </m:oMath>
            <w:r w:rsidRPr="005E1FD5">
              <w:rPr>
                <w:bCs/>
                <w:iCs/>
                <w:lang w:val="en-US"/>
              </w:rPr>
              <w:t xml:space="preserve"> , specific approach can refer to the PUR requirements for IOT-NTN.</w:t>
            </w:r>
          </w:p>
          <w:p w14:paraId="20E22E8D" w14:textId="77777777" w:rsidR="005E1FD5" w:rsidRPr="005E1FD5" w:rsidRDefault="005E1FD5" w:rsidP="005E1FD5">
            <w:pPr>
              <w:numPr>
                <w:ilvl w:val="3"/>
                <w:numId w:val="33"/>
              </w:numPr>
              <w:rPr>
                <w:iCs/>
                <w:lang w:val="en-US"/>
              </w:rPr>
            </w:pPr>
            <w:r w:rsidRPr="005E1FD5">
              <w:rPr>
                <w:iCs/>
                <w:lang w:val="en-US"/>
              </w:rPr>
              <w:t>Proposal 1d (vivo): For SDT requirement in RRC_INACTIVE state for (e)</w:t>
            </w:r>
            <w:proofErr w:type="spellStart"/>
            <w:r w:rsidRPr="005E1FD5">
              <w:rPr>
                <w:iCs/>
                <w:lang w:val="en-US"/>
              </w:rPr>
              <w:t>RedCap</w:t>
            </w:r>
            <w:proofErr w:type="spellEnd"/>
            <w:r w:rsidRPr="005E1FD5">
              <w:rPr>
                <w:iCs/>
                <w:lang w:val="en-US"/>
              </w:rPr>
              <w:t xml:space="preserve"> NTN, RAN4 to follow the same requirements on TA validation for the PUR requirements for IoT NTN (when stable)</w:t>
            </w:r>
          </w:p>
          <w:p w14:paraId="20209351" w14:textId="77777777" w:rsidR="005E1FD5" w:rsidRPr="005E1FD5" w:rsidRDefault="005E1FD5" w:rsidP="005E1FD5">
            <w:pPr>
              <w:numPr>
                <w:ilvl w:val="2"/>
                <w:numId w:val="33"/>
              </w:numPr>
              <w:rPr>
                <w:iCs/>
                <w:lang w:val="en-US"/>
              </w:rPr>
            </w:pPr>
            <w:r w:rsidRPr="005E1FD5">
              <w:rPr>
                <w:iCs/>
                <w:lang w:val="en-US"/>
              </w:rPr>
              <w:t xml:space="preserve">Proposal 2 (ZTE): CG-SDT shall be used for </w:t>
            </w:r>
            <w:proofErr w:type="spellStart"/>
            <w:r w:rsidRPr="005E1FD5">
              <w:rPr>
                <w:iCs/>
                <w:lang w:val="en-US"/>
              </w:rPr>
              <w:t>RedCap</w:t>
            </w:r>
            <w:proofErr w:type="spellEnd"/>
            <w:r w:rsidRPr="005E1FD5">
              <w:rPr>
                <w:iCs/>
                <w:lang w:val="en-US"/>
              </w:rPr>
              <w:t xml:space="preserve"> UEs in NTN whatever it’s the GSO or NGSO for 1Rx and 2Rx </w:t>
            </w:r>
            <w:proofErr w:type="spellStart"/>
            <w:r w:rsidRPr="005E1FD5">
              <w:rPr>
                <w:iCs/>
                <w:lang w:val="en-US"/>
              </w:rPr>
              <w:t>RedCap</w:t>
            </w:r>
            <w:proofErr w:type="spellEnd"/>
            <w:r w:rsidRPr="005E1FD5">
              <w:rPr>
                <w:iCs/>
                <w:lang w:val="en-US"/>
              </w:rPr>
              <w:t xml:space="preserve"> UEs, and the requirements can be:</w:t>
            </w:r>
          </w:p>
          <w:tbl>
            <w:tblPr>
              <w:tblStyle w:val="TableGrid"/>
              <w:tblW w:w="0" w:type="auto"/>
              <w:tblInd w:w="2518" w:type="dxa"/>
              <w:tblLook w:val="04A0" w:firstRow="1" w:lastRow="0" w:firstColumn="1" w:lastColumn="0" w:noHBand="0" w:noVBand="1"/>
            </w:tblPr>
            <w:tblGrid>
              <w:gridCol w:w="1974"/>
              <w:gridCol w:w="4899"/>
            </w:tblGrid>
            <w:tr w:rsidR="005E1FD5" w:rsidRPr="005E1FD5" w14:paraId="13FCD06B" w14:textId="77777777" w:rsidTr="005E1FD5">
              <w:tc>
                <w:tcPr>
                  <w:tcW w:w="1985" w:type="dxa"/>
                  <w:tcBorders>
                    <w:top w:val="single" w:sz="4" w:space="0" w:color="auto"/>
                    <w:left w:val="single" w:sz="4" w:space="0" w:color="auto"/>
                    <w:bottom w:val="single" w:sz="4" w:space="0" w:color="auto"/>
                    <w:right w:val="single" w:sz="4" w:space="0" w:color="auto"/>
                  </w:tcBorders>
                  <w:hideMark/>
                </w:tcPr>
                <w:p w14:paraId="1CC057D4" w14:textId="77777777" w:rsidR="005E1FD5" w:rsidRPr="005E1FD5" w:rsidRDefault="005E1FD5" w:rsidP="005E1FD5">
                  <w:pPr>
                    <w:rPr>
                      <w:i/>
                      <w:iCs/>
                      <w:lang w:val="fr-FR"/>
                    </w:rPr>
                  </w:pPr>
                  <w:proofErr w:type="spellStart"/>
                  <w:r w:rsidRPr="005E1FD5">
                    <w:rPr>
                      <w:lang w:val="fr-FR"/>
                    </w:rPr>
                    <w:t>Measurement</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19F62BD9" w14:textId="77777777" w:rsidR="005E1FD5" w:rsidRPr="005E1FD5" w:rsidRDefault="005E1FD5" w:rsidP="005E1FD5">
                  <w:pPr>
                    <w:rPr>
                      <w:i/>
                      <w:iCs/>
                      <w:lang w:val="fr-FR"/>
                    </w:rPr>
                  </w:pPr>
                  <w:r w:rsidRPr="005E1FD5">
                    <w:rPr>
                      <w:lang w:val="fr-FR"/>
                    </w:rPr>
                    <w:t>FR1</w:t>
                  </w:r>
                </w:p>
              </w:tc>
            </w:tr>
            <w:tr w:rsidR="005E1FD5" w:rsidRPr="00CF2F1D" w14:paraId="3D03557D" w14:textId="77777777" w:rsidTr="005E1FD5">
              <w:tc>
                <w:tcPr>
                  <w:tcW w:w="1985" w:type="dxa"/>
                  <w:tcBorders>
                    <w:top w:val="single" w:sz="4" w:space="0" w:color="auto"/>
                    <w:left w:val="single" w:sz="4" w:space="0" w:color="auto"/>
                    <w:bottom w:val="single" w:sz="4" w:space="0" w:color="auto"/>
                    <w:right w:val="single" w:sz="4" w:space="0" w:color="auto"/>
                  </w:tcBorders>
                  <w:hideMark/>
                </w:tcPr>
                <w:p w14:paraId="64D44F44" w14:textId="77777777" w:rsidR="005E1FD5" w:rsidRPr="005E1FD5" w:rsidRDefault="005E1FD5" w:rsidP="005E1FD5">
                  <w:pPr>
                    <w:rPr>
                      <w:i/>
                      <w:iCs/>
                      <w:lang w:val="fr-FR"/>
                    </w:rPr>
                  </w:pPr>
                  <w:r w:rsidRPr="005E1FD5">
                    <w:rPr>
                      <w:lang w:val="fr-FR"/>
                    </w:rPr>
                    <w:t>RSRP</w:t>
                  </w:r>
                  <w:r w:rsidRPr="005E1FD5">
                    <w:rPr>
                      <w:vertAlign w:val="subscript"/>
                      <w:lang w:val="fr-FR"/>
                    </w:rPr>
                    <w:t>1</w:t>
                  </w:r>
                </w:p>
              </w:tc>
              <w:tc>
                <w:tcPr>
                  <w:tcW w:w="4961" w:type="dxa"/>
                  <w:tcBorders>
                    <w:top w:val="single" w:sz="4" w:space="0" w:color="auto"/>
                    <w:left w:val="single" w:sz="4" w:space="0" w:color="auto"/>
                    <w:bottom w:val="single" w:sz="4" w:space="0" w:color="auto"/>
                    <w:right w:val="single" w:sz="4" w:space="0" w:color="auto"/>
                  </w:tcBorders>
                  <w:hideMark/>
                </w:tcPr>
                <w:p w14:paraId="3FF1DEF6" w14:textId="77777777" w:rsidR="005E1FD5" w:rsidRPr="005E1FD5" w:rsidRDefault="005E1FD5" w:rsidP="005E1FD5">
                  <w:pPr>
                    <w:rPr>
                      <w:i/>
                      <w:iCs/>
                      <w:lang w:val="fr-FR"/>
                    </w:rPr>
                  </w:pPr>
                  <w:r w:rsidRPr="005E1FD5">
                    <w:rPr>
                      <w:lang w:val="fr-FR"/>
                    </w:rPr>
                    <w:t>(T1 – min(</w:t>
                  </w:r>
                  <w:r w:rsidRPr="005E1FD5">
                    <w:rPr>
                      <w:lang w:val="sv-SE"/>
                    </w:rPr>
                    <w:t>800</w:t>
                  </w:r>
                  <w:r w:rsidRPr="005E1FD5">
                    <w:rPr>
                      <w:lang w:val="fr-FR"/>
                    </w:rPr>
                    <w:t>ms, M1*T</w:t>
                  </w:r>
                  <w:r w:rsidRPr="005E1FD5">
                    <w:rPr>
                      <w:vertAlign w:val="subscript"/>
                      <w:lang w:val="fr-FR"/>
                    </w:rPr>
                    <w:t>DRX</w:t>
                  </w:r>
                  <w:r w:rsidRPr="005E1FD5">
                    <w:rPr>
                      <w:lang w:val="fr-FR"/>
                    </w:rPr>
                    <w:t>)) ≤ T1’ ≤ (T1 + min(</w:t>
                  </w:r>
                  <w:r w:rsidRPr="005E1FD5">
                    <w:rPr>
                      <w:lang w:val="sv-SE"/>
                    </w:rPr>
                    <w:t>800</w:t>
                  </w:r>
                  <w:r w:rsidRPr="005E1FD5">
                    <w:rPr>
                      <w:lang w:val="fr-FR"/>
                    </w:rPr>
                    <w:t>ms, M1*T</w:t>
                  </w:r>
                  <w:r w:rsidRPr="005E1FD5">
                    <w:rPr>
                      <w:vertAlign w:val="subscript"/>
                      <w:lang w:val="fr-FR"/>
                    </w:rPr>
                    <w:t>DRX</w:t>
                  </w:r>
                  <w:r w:rsidRPr="005E1FD5">
                    <w:rPr>
                      <w:lang w:val="fr-FR"/>
                    </w:rPr>
                    <w:t>))</w:t>
                  </w:r>
                </w:p>
              </w:tc>
            </w:tr>
            <w:tr w:rsidR="005E1FD5" w:rsidRPr="00CF2F1D" w14:paraId="230A30C1" w14:textId="77777777" w:rsidTr="005E1FD5">
              <w:tc>
                <w:tcPr>
                  <w:tcW w:w="1985" w:type="dxa"/>
                  <w:tcBorders>
                    <w:top w:val="single" w:sz="4" w:space="0" w:color="auto"/>
                    <w:left w:val="single" w:sz="4" w:space="0" w:color="auto"/>
                    <w:bottom w:val="single" w:sz="4" w:space="0" w:color="auto"/>
                    <w:right w:val="single" w:sz="4" w:space="0" w:color="auto"/>
                  </w:tcBorders>
                  <w:hideMark/>
                </w:tcPr>
                <w:p w14:paraId="43F3793F" w14:textId="77777777" w:rsidR="005E1FD5" w:rsidRPr="005E1FD5" w:rsidRDefault="005E1FD5" w:rsidP="005E1FD5">
                  <w:pPr>
                    <w:rPr>
                      <w:i/>
                      <w:iCs/>
                      <w:lang w:val="fr-FR"/>
                    </w:rPr>
                  </w:pPr>
                  <w:r w:rsidRPr="005E1FD5">
                    <w:rPr>
                      <w:lang w:val="fr-FR"/>
                    </w:rPr>
                    <w:t>RSRP</w:t>
                  </w:r>
                  <w:r w:rsidRPr="005E1FD5">
                    <w:rPr>
                      <w:vertAlign w:val="subscript"/>
                      <w:lang w:val="fr-FR"/>
                    </w:rPr>
                    <w:t>2</w:t>
                  </w:r>
                </w:p>
              </w:tc>
              <w:tc>
                <w:tcPr>
                  <w:tcW w:w="4961" w:type="dxa"/>
                  <w:tcBorders>
                    <w:top w:val="single" w:sz="4" w:space="0" w:color="auto"/>
                    <w:left w:val="single" w:sz="4" w:space="0" w:color="auto"/>
                    <w:bottom w:val="single" w:sz="4" w:space="0" w:color="auto"/>
                    <w:right w:val="single" w:sz="4" w:space="0" w:color="auto"/>
                  </w:tcBorders>
                  <w:hideMark/>
                </w:tcPr>
                <w:p w14:paraId="6E7F41BF" w14:textId="77777777" w:rsidR="005E1FD5" w:rsidRPr="005E1FD5" w:rsidRDefault="005E1FD5" w:rsidP="005E1FD5">
                  <w:pPr>
                    <w:rPr>
                      <w:i/>
                      <w:iCs/>
                      <w:lang w:val="fr-FR"/>
                    </w:rPr>
                  </w:pPr>
                  <w:r w:rsidRPr="005E1FD5">
                    <w:rPr>
                      <w:lang w:val="fr-FR"/>
                    </w:rPr>
                    <w:t>(T2 – min(</w:t>
                  </w:r>
                  <w:r w:rsidRPr="005E1FD5">
                    <w:rPr>
                      <w:lang w:val="sv-SE"/>
                    </w:rPr>
                    <w:t>800</w:t>
                  </w:r>
                  <w:r w:rsidRPr="005E1FD5">
                    <w:rPr>
                      <w:lang w:val="fr-FR"/>
                    </w:rPr>
                    <w:t>ms, M1*T</w:t>
                  </w:r>
                  <w:r w:rsidRPr="005E1FD5">
                    <w:rPr>
                      <w:vertAlign w:val="subscript"/>
                      <w:lang w:val="fr-FR"/>
                    </w:rPr>
                    <w:t>DRX</w:t>
                  </w:r>
                  <w:r w:rsidRPr="005E1FD5">
                    <w:rPr>
                      <w:lang w:val="fr-FR"/>
                    </w:rPr>
                    <w:t>)) ≤ T2’ ≤ T2</w:t>
                  </w:r>
                </w:p>
              </w:tc>
            </w:tr>
            <w:tr w:rsidR="005E1FD5" w:rsidRPr="005E1FD5" w14:paraId="7FD01F93" w14:textId="77777777" w:rsidTr="005E1FD5">
              <w:tc>
                <w:tcPr>
                  <w:tcW w:w="6946" w:type="dxa"/>
                  <w:gridSpan w:val="2"/>
                  <w:tcBorders>
                    <w:top w:val="single" w:sz="4" w:space="0" w:color="auto"/>
                    <w:left w:val="single" w:sz="4" w:space="0" w:color="auto"/>
                    <w:bottom w:val="single" w:sz="4" w:space="0" w:color="auto"/>
                    <w:right w:val="single" w:sz="4" w:space="0" w:color="auto"/>
                  </w:tcBorders>
                  <w:hideMark/>
                </w:tcPr>
                <w:p w14:paraId="58FD1309" w14:textId="77777777" w:rsidR="005E1FD5" w:rsidRPr="005E1FD5" w:rsidRDefault="005E1FD5" w:rsidP="005E1FD5">
                  <w:pPr>
                    <w:rPr>
                      <w:lang w:val="en-US"/>
                    </w:rPr>
                  </w:pPr>
                  <w:r w:rsidRPr="005E1FD5">
                    <w:rPr>
                      <w:lang w:val="en-US"/>
                    </w:rPr>
                    <w:t xml:space="preserve">Note: </w:t>
                  </w:r>
                  <w:r w:rsidRPr="005E1FD5">
                    <w:t>The UE is not required to meet the requirements for 2.56s DRX cycle length for earth-moving LEO deployment.</w:t>
                  </w:r>
                </w:p>
              </w:tc>
            </w:tr>
          </w:tbl>
          <w:p w14:paraId="6E584C67" w14:textId="77777777" w:rsidR="005E1FD5" w:rsidRPr="005E1FD5" w:rsidRDefault="005E1FD5" w:rsidP="005E1FD5">
            <w:pPr>
              <w:rPr>
                <w:iCs/>
                <w:lang w:val="en-US"/>
              </w:rPr>
            </w:pPr>
          </w:p>
          <w:p w14:paraId="4C77EAF3" w14:textId="77777777" w:rsidR="005E1FD5" w:rsidRPr="005E1FD5" w:rsidRDefault="005E1FD5" w:rsidP="005E1FD5">
            <w:pPr>
              <w:numPr>
                <w:ilvl w:val="1"/>
                <w:numId w:val="33"/>
              </w:numPr>
              <w:rPr>
                <w:lang w:val="en-US"/>
              </w:rPr>
            </w:pPr>
            <w:r w:rsidRPr="005E1FD5">
              <w:rPr>
                <w:lang w:val="en-US"/>
              </w:rPr>
              <w:t>For MDT requirements in RRC_IDLE and RRC_INACTIVE state</w:t>
            </w:r>
          </w:p>
          <w:p w14:paraId="2F7D5CE5" w14:textId="77777777" w:rsidR="005E1FD5" w:rsidRPr="005E1FD5" w:rsidRDefault="005E1FD5" w:rsidP="005E1FD5">
            <w:pPr>
              <w:numPr>
                <w:ilvl w:val="2"/>
                <w:numId w:val="33"/>
              </w:numPr>
            </w:pPr>
            <w:r w:rsidRPr="005E1FD5">
              <w:t xml:space="preserve">Proposal 1 (CATT, </w:t>
            </w:r>
            <w:r w:rsidRPr="005E1FD5">
              <w:rPr>
                <w:lang w:val="en-US"/>
              </w:rPr>
              <w:t>Samsung, QC, OPPO, Ericsson, vivo, HW, MTK</w:t>
            </w:r>
            <w:r w:rsidRPr="005E1FD5">
              <w:t xml:space="preserve">): </w:t>
            </w:r>
          </w:p>
          <w:p w14:paraId="77619741" w14:textId="77777777" w:rsidR="005E1FD5" w:rsidRPr="005E1FD5" w:rsidRDefault="005E1FD5" w:rsidP="005E1FD5">
            <w:pPr>
              <w:numPr>
                <w:ilvl w:val="3"/>
                <w:numId w:val="33"/>
              </w:numPr>
              <w:rPr>
                <w:iCs/>
                <w:lang w:val="en-US"/>
              </w:rPr>
            </w:pPr>
            <w:r w:rsidRPr="005E1FD5">
              <w:rPr>
                <w:iCs/>
                <w:lang w:val="en-US"/>
              </w:rPr>
              <w:t>Do not specify Minimization of Drive Tests (MDT) requirements in RRC_IDLE state and RRC_INACTIVE state for (e)</w:t>
            </w:r>
            <w:proofErr w:type="spellStart"/>
            <w:r w:rsidRPr="005E1FD5">
              <w:rPr>
                <w:iCs/>
                <w:lang w:val="en-US"/>
              </w:rPr>
              <w:t>RedCap</w:t>
            </w:r>
            <w:proofErr w:type="spellEnd"/>
            <w:r w:rsidRPr="005E1FD5">
              <w:rPr>
                <w:iCs/>
                <w:lang w:val="en-US"/>
              </w:rPr>
              <w:t xml:space="preserve"> UE with FR1-NTN as the same situation for (e)</w:t>
            </w:r>
            <w:proofErr w:type="spellStart"/>
            <w:r w:rsidRPr="005E1FD5">
              <w:rPr>
                <w:iCs/>
                <w:lang w:val="en-US"/>
              </w:rPr>
              <w:t>RedCap</w:t>
            </w:r>
            <w:proofErr w:type="spellEnd"/>
            <w:r w:rsidRPr="005E1FD5">
              <w:rPr>
                <w:iCs/>
                <w:lang w:val="en-US"/>
              </w:rPr>
              <w:t xml:space="preserve"> UE in TN system.</w:t>
            </w:r>
          </w:p>
          <w:p w14:paraId="75F47F30" w14:textId="77777777" w:rsidR="005E1FD5" w:rsidRPr="005E1FD5" w:rsidRDefault="005E1FD5" w:rsidP="005E1FD5">
            <w:pPr>
              <w:numPr>
                <w:ilvl w:val="3"/>
                <w:numId w:val="33"/>
              </w:numPr>
              <w:rPr>
                <w:iCs/>
                <w:lang w:val="en-US"/>
              </w:rPr>
            </w:pPr>
            <w:r w:rsidRPr="005E1FD5">
              <w:rPr>
                <w:iCs/>
                <w:lang w:val="en-US"/>
              </w:rPr>
              <w:t>Proposal 1a (CATT): Deprioritize to define.</w:t>
            </w:r>
          </w:p>
          <w:p w14:paraId="3FC047E7" w14:textId="77777777" w:rsidR="005E1FD5" w:rsidRPr="005E1FD5" w:rsidRDefault="005E1FD5" w:rsidP="005E1FD5">
            <w:pPr>
              <w:numPr>
                <w:ilvl w:val="2"/>
                <w:numId w:val="33"/>
              </w:numPr>
            </w:pPr>
            <w:r w:rsidRPr="005E1FD5">
              <w:t xml:space="preserve">Proposal 2 (CMCC): </w:t>
            </w:r>
          </w:p>
          <w:p w14:paraId="4E933F4F" w14:textId="77777777" w:rsidR="005E1FD5" w:rsidRPr="005E1FD5" w:rsidRDefault="005E1FD5" w:rsidP="005E1FD5">
            <w:pPr>
              <w:numPr>
                <w:ilvl w:val="3"/>
                <w:numId w:val="33"/>
              </w:numPr>
              <w:rPr>
                <w:iCs/>
                <w:lang w:val="en-US"/>
              </w:rPr>
            </w:pPr>
            <w:r w:rsidRPr="005E1FD5">
              <w:rPr>
                <w:iCs/>
                <w:lang w:val="en-US"/>
              </w:rPr>
              <w:t xml:space="preserve">Define the MDT requirements in RRC_IDLE and RRC_INACTIVE state for </w:t>
            </w:r>
            <w:proofErr w:type="spellStart"/>
            <w:r w:rsidRPr="005E1FD5">
              <w:rPr>
                <w:iCs/>
                <w:lang w:val="en-US"/>
              </w:rPr>
              <w:t>RedCap</w:t>
            </w:r>
            <w:proofErr w:type="spellEnd"/>
            <w:r w:rsidRPr="005E1FD5">
              <w:rPr>
                <w:iCs/>
                <w:lang w:val="en-US"/>
              </w:rPr>
              <w:t xml:space="preserve"> over NTN, if the related features are supported in RAN1/2 spec.</w:t>
            </w:r>
          </w:p>
          <w:p w14:paraId="01F0A41A" w14:textId="77777777" w:rsidR="005E1FD5" w:rsidRPr="005E1FD5" w:rsidRDefault="005E1FD5" w:rsidP="005E1FD5">
            <w:pPr>
              <w:numPr>
                <w:ilvl w:val="2"/>
                <w:numId w:val="33"/>
              </w:numPr>
            </w:pPr>
            <w:r w:rsidRPr="005E1FD5">
              <w:t xml:space="preserve">Proposal 3 (ZTE): </w:t>
            </w:r>
          </w:p>
          <w:p w14:paraId="07D42A3A" w14:textId="77777777" w:rsidR="005E1FD5" w:rsidRPr="005E1FD5" w:rsidRDefault="005E1FD5" w:rsidP="005E1FD5">
            <w:pPr>
              <w:numPr>
                <w:ilvl w:val="3"/>
                <w:numId w:val="33"/>
              </w:numPr>
              <w:rPr>
                <w:iCs/>
              </w:rPr>
            </w:pPr>
            <w:r w:rsidRPr="005E1FD5">
              <w:rPr>
                <w:iCs/>
                <w:lang w:val="en-US"/>
              </w:rPr>
              <w:t xml:space="preserve">RAN4 shall consider NTN cell size and </w:t>
            </w:r>
            <w:proofErr w:type="spellStart"/>
            <w:r w:rsidRPr="005E1FD5">
              <w:rPr>
                <w:iCs/>
                <w:lang w:val="en-US"/>
              </w:rPr>
              <w:t>RedCap</w:t>
            </w:r>
            <w:proofErr w:type="spellEnd"/>
            <w:r w:rsidRPr="005E1FD5">
              <w:rPr>
                <w:iCs/>
                <w:lang w:val="en-US"/>
              </w:rPr>
              <w:t xml:space="preserve"> UE capability and then decide whether to define relevant requirements.</w:t>
            </w:r>
          </w:p>
          <w:p w14:paraId="1203078D" w14:textId="77777777" w:rsidR="000F66B7" w:rsidRDefault="000F66B7" w:rsidP="000F66B7"/>
        </w:tc>
      </w:tr>
    </w:tbl>
    <w:p w14:paraId="009A9E74" w14:textId="77777777" w:rsidR="000F66B7" w:rsidRDefault="000F66B7" w:rsidP="000F66B7"/>
    <w:p w14:paraId="07CCA68D" w14:textId="194E0AF2" w:rsidR="005E1FD5" w:rsidRDefault="005E1FD5" w:rsidP="000F66B7">
      <w:r>
        <w:t xml:space="preserve">For SDT, most companies seem to agree that RSRP-TA validation is no longer valid for NR over NTN – due to the limited near-far effect in NTN and the instability of the TA and its association with a validity timer and ephemeris - and it shall be removed from the feature mechanism. </w:t>
      </w:r>
      <w:r w:rsidR="005D0E4B">
        <w:t xml:space="preserve">However, for IoT NTN this decision was taken by RAN2 and it was later validated by RAN4. As this has impact on the description of RAN2 features, it cannot be solely decided by RAN4. </w:t>
      </w:r>
      <w:r>
        <w:t xml:space="preserve"> </w:t>
      </w:r>
    </w:p>
    <w:p w14:paraId="6F88B77C" w14:textId="487E0A7B" w:rsidR="005E1FD5" w:rsidRDefault="005E1FD5" w:rsidP="005E1FD5">
      <w:pPr>
        <w:pStyle w:val="RAN4proposal"/>
      </w:pPr>
      <w:bookmarkStart w:id="7" w:name="_Toc189844401"/>
      <w:r>
        <w:t xml:space="preserve">RAN4 to </w:t>
      </w:r>
      <w:r w:rsidR="005D0E4B">
        <w:t>confirm with RAN2 whether</w:t>
      </w:r>
      <w:r>
        <w:t xml:space="preserve"> the RSRP-based TA validation in CG-SDT </w:t>
      </w:r>
      <w:r w:rsidR="005D0E4B">
        <w:t xml:space="preserve">shall be removed from </w:t>
      </w:r>
      <w:r>
        <w:t>RRM requirements.</w:t>
      </w:r>
      <w:bookmarkEnd w:id="7"/>
      <w:r>
        <w:t xml:space="preserve"> </w:t>
      </w:r>
    </w:p>
    <w:p w14:paraId="668824B3" w14:textId="1B83B324" w:rsidR="005E1FD5" w:rsidRDefault="005E1FD5" w:rsidP="005E1FD5">
      <w:r>
        <w:t xml:space="preserve">Regarding whether to adopt similar validation criteria as currently being adopted by RAN2 for PUR in IoT NTN, this decision is out of scope of RAN4 as this mechanism needs to be confirmed by other RAN groups, and captured in their respective specifications. </w:t>
      </w:r>
    </w:p>
    <w:p w14:paraId="7B185696" w14:textId="6502007C" w:rsidR="005E1FD5" w:rsidRDefault="005E1FD5" w:rsidP="005E1FD5">
      <w:pPr>
        <w:pStyle w:val="RAN4proposal"/>
      </w:pPr>
      <w:bookmarkStart w:id="8" w:name="_Toc189844402"/>
      <w:r>
        <w:t>Confirm with RAN2 whether similar validation criteria as used for PUR in IoT NTN can be used for CG-SDT in NTN.</w:t>
      </w:r>
      <w:bookmarkEnd w:id="8"/>
      <w:r>
        <w:t xml:space="preserve"> </w:t>
      </w:r>
    </w:p>
    <w:p w14:paraId="48986EA9" w14:textId="5E69EFB6" w:rsidR="005E1FD5" w:rsidRDefault="005E1FD5" w:rsidP="005E1FD5">
      <w:r>
        <w:t>Another feature being discussed was the minimization of drive tests (MDT</w:t>
      </w:r>
      <w:r w:rsidR="003872B1">
        <w:t xml:space="preserve">) and whether it should be specified for </w:t>
      </w:r>
      <w:proofErr w:type="spellStart"/>
      <w:r w:rsidR="003872B1">
        <w:t>RedCap</w:t>
      </w:r>
      <w:proofErr w:type="spellEnd"/>
      <w:r w:rsidR="003872B1">
        <w:t xml:space="preserve"> over NTN or not. Given</w:t>
      </w:r>
      <w:r>
        <w:t xml:space="preserve"> the number of open issues, the size of the work item and the total workload, </w:t>
      </w:r>
      <w:r w:rsidR="003872B1">
        <w:t>this feature does not seem to be a priority for discussion, therefore we propose:</w:t>
      </w:r>
    </w:p>
    <w:p w14:paraId="160CA686" w14:textId="615F0DC1" w:rsidR="003872B1" w:rsidRPr="005E1FD5" w:rsidRDefault="003872B1" w:rsidP="003872B1">
      <w:pPr>
        <w:pStyle w:val="RAN4proposal"/>
      </w:pPr>
      <w:bookmarkStart w:id="9" w:name="_Toc189844403"/>
      <w:r>
        <w:t xml:space="preserve">Do not specify MDT for </w:t>
      </w:r>
      <w:proofErr w:type="spellStart"/>
      <w:r>
        <w:t>RedCap</w:t>
      </w:r>
      <w:proofErr w:type="spellEnd"/>
      <w:r>
        <w:t xml:space="preserve"> over NTN</w:t>
      </w:r>
      <w:bookmarkEnd w:id="9"/>
    </w:p>
    <w:p w14:paraId="283FF022" w14:textId="5AA78864" w:rsidR="00B45E3B" w:rsidRDefault="00B45E3B" w:rsidP="00B45E3B">
      <w:pPr>
        <w:pStyle w:val="RAN4H2"/>
      </w:pPr>
      <w:r>
        <w:lastRenderedPageBreak/>
        <w:t>Other features</w:t>
      </w:r>
    </w:p>
    <w:p w14:paraId="0FB7A59F" w14:textId="56CC12DF" w:rsidR="00B45E3B" w:rsidRPr="00B45E3B" w:rsidRDefault="00B45E3B" w:rsidP="00B45E3B">
      <w:r>
        <w:t xml:space="preserve">In the previous WF, a series of requirements were left for further discussion on whether they could be optionally supported by </w:t>
      </w:r>
      <w:proofErr w:type="spellStart"/>
      <w:r>
        <w:t>RedCap</w:t>
      </w:r>
      <w:proofErr w:type="spellEnd"/>
      <w:r>
        <w:t xml:space="preserve"> UEs. Those requirements are described in Issue 1-2-8 of the WF and provided in two sets:</w:t>
      </w:r>
    </w:p>
    <w:tbl>
      <w:tblPr>
        <w:tblStyle w:val="TableGrid"/>
        <w:tblW w:w="0" w:type="auto"/>
        <w:tblLook w:val="04A0" w:firstRow="1" w:lastRow="0" w:firstColumn="1" w:lastColumn="0" w:noHBand="0" w:noVBand="1"/>
      </w:tblPr>
      <w:tblGrid>
        <w:gridCol w:w="9617"/>
      </w:tblGrid>
      <w:tr w:rsidR="00B45E3B" w14:paraId="11488A90" w14:textId="77777777" w:rsidTr="00B45E3B">
        <w:tc>
          <w:tcPr>
            <w:tcW w:w="9617" w:type="dxa"/>
          </w:tcPr>
          <w:p w14:paraId="5EFFD961" w14:textId="77777777" w:rsidR="00B45E3B" w:rsidRPr="00B45E3B" w:rsidRDefault="00B45E3B" w:rsidP="00B45E3B">
            <w:pPr>
              <w:rPr>
                <w:b/>
                <w:iCs/>
                <w:lang w:val="en-US"/>
              </w:rPr>
            </w:pPr>
            <w:r w:rsidRPr="00B45E3B">
              <w:rPr>
                <w:b/>
                <w:bCs/>
                <w:u w:val="single"/>
                <w:lang w:val="en-US"/>
              </w:rPr>
              <w:t>Issue 1-2-8: Other features</w:t>
            </w:r>
          </w:p>
          <w:p w14:paraId="1843421F" w14:textId="77777777" w:rsidR="00B45E3B" w:rsidRPr="00B45E3B" w:rsidRDefault="00B45E3B" w:rsidP="00B45E3B">
            <w:pPr>
              <w:rPr>
                <w:lang w:val="en-US"/>
              </w:rPr>
            </w:pPr>
            <w:r w:rsidRPr="00B45E3B">
              <w:rPr>
                <w:b/>
                <w:lang w:val="en-US"/>
              </w:rPr>
              <w:t>&lt;Way Forward&gt;:</w:t>
            </w:r>
          </w:p>
          <w:p w14:paraId="674C579B" w14:textId="77777777" w:rsidR="00B45E3B" w:rsidRPr="00B45E3B" w:rsidRDefault="00B45E3B" w:rsidP="00B45E3B">
            <w:pPr>
              <w:numPr>
                <w:ilvl w:val="1"/>
                <w:numId w:val="33"/>
              </w:numPr>
              <w:rPr>
                <w:iCs/>
                <w:lang w:val="en-US"/>
              </w:rPr>
            </w:pPr>
            <w:r w:rsidRPr="00B45E3B">
              <w:rPr>
                <w:lang w:val="en-US"/>
              </w:rPr>
              <w:t xml:space="preserve">Proposal 1 (CMCC): </w:t>
            </w:r>
            <w:r w:rsidRPr="00B45E3B">
              <w:rPr>
                <w:iCs/>
                <w:lang w:val="en-US"/>
              </w:rPr>
              <w:t>For the optional NTN features which have impact on RAN4 requirements and need enhanced UE capability, whether Redcap UE could optionally support it and whether RAN4 need to define requirements should be further discussed.</w:t>
            </w:r>
          </w:p>
          <w:p w14:paraId="76C9C5EC" w14:textId="77777777" w:rsidR="00B45E3B" w:rsidRPr="00B45E3B" w:rsidRDefault="00B45E3B" w:rsidP="00B45E3B">
            <w:pPr>
              <w:numPr>
                <w:ilvl w:val="2"/>
                <w:numId w:val="33"/>
              </w:numPr>
              <w:rPr>
                <w:iCs/>
                <w:lang w:val="en-US"/>
              </w:rPr>
            </w:pPr>
            <w:r w:rsidRPr="00B45E3B">
              <w:rPr>
                <w:iCs/>
                <w:lang w:val="en-US"/>
              </w:rPr>
              <w:t>Set 1: propose to be optionally supported by Redcap over NTN</w:t>
            </w:r>
          </w:p>
          <w:p w14:paraId="35BAEF2A" w14:textId="77777777" w:rsidR="00B45E3B" w:rsidRPr="00B45E3B" w:rsidRDefault="00B45E3B" w:rsidP="00B45E3B">
            <w:pPr>
              <w:numPr>
                <w:ilvl w:val="3"/>
                <w:numId w:val="33"/>
              </w:numPr>
              <w:rPr>
                <w:lang w:val="en-US"/>
              </w:rPr>
            </w:pPr>
            <w:r w:rsidRPr="00B45E3B">
              <w:rPr>
                <w:lang w:val="en-US"/>
              </w:rPr>
              <w:t>SMTC adjustment in idle/inactive</w:t>
            </w:r>
          </w:p>
          <w:p w14:paraId="5F75DE9F" w14:textId="77777777" w:rsidR="00B45E3B" w:rsidRPr="00B45E3B" w:rsidRDefault="00B45E3B" w:rsidP="00B45E3B">
            <w:pPr>
              <w:numPr>
                <w:ilvl w:val="3"/>
                <w:numId w:val="33"/>
              </w:numPr>
              <w:rPr>
                <w:lang w:val="en-US"/>
              </w:rPr>
            </w:pPr>
            <w:r w:rsidRPr="00B45E3B">
              <w:rPr>
                <w:lang w:val="en-US"/>
              </w:rPr>
              <w:t>Location-based measurement report trigger</w:t>
            </w:r>
          </w:p>
          <w:p w14:paraId="47EA54B9" w14:textId="77777777" w:rsidR="00B45E3B" w:rsidRPr="00B45E3B" w:rsidRDefault="00B45E3B" w:rsidP="00B45E3B">
            <w:pPr>
              <w:numPr>
                <w:ilvl w:val="3"/>
                <w:numId w:val="33"/>
              </w:numPr>
              <w:rPr>
                <w:lang w:val="en-US"/>
              </w:rPr>
            </w:pPr>
            <w:r w:rsidRPr="00B45E3B">
              <w:rPr>
                <w:lang w:val="en-US"/>
              </w:rPr>
              <w:t>Enhanced RRM requirements for measurements in IDLE and INACTIVE modes</w:t>
            </w:r>
          </w:p>
          <w:p w14:paraId="03C12AAE" w14:textId="77777777" w:rsidR="00B45E3B" w:rsidRPr="00B45E3B" w:rsidRDefault="00B45E3B" w:rsidP="00B45E3B">
            <w:pPr>
              <w:numPr>
                <w:ilvl w:val="3"/>
                <w:numId w:val="33"/>
              </w:numPr>
              <w:rPr>
                <w:lang w:val="en-US"/>
              </w:rPr>
            </w:pPr>
            <w:r w:rsidRPr="00B45E3B">
              <w:rPr>
                <w:lang w:val="en-US"/>
              </w:rPr>
              <w:t>The number of target LEO satellites the UE can monitor per carrier including serving satellite</w:t>
            </w:r>
          </w:p>
          <w:p w14:paraId="248F1726" w14:textId="77777777" w:rsidR="00B45E3B" w:rsidRPr="00B45E3B" w:rsidRDefault="00B45E3B" w:rsidP="00B45E3B">
            <w:pPr>
              <w:numPr>
                <w:ilvl w:val="0"/>
                <w:numId w:val="35"/>
              </w:numPr>
              <w:rPr>
                <w:b/>
                <w:bCs/>
                <w:iCs/>
                <w:lang w:val="en-US"/>
              </w:rPr>
            </w:pPr>
            <w:r w:rsidRPr="00B45E3B">
              <w:rPr>
                <w:lang w:val="en-US"/>
              </w:rPr>
              <w:t>Further discuss the max number</w:t>
            </w:r>
          </w:p>
          <w:p w14:paraId="2077E0A7" w14:textId="77777777" w:rsidR="00B45E3B" w:rsidRPr="00B45E3B" w:rsidRDefault="00B45E3B" w:rsidP="00B45E3B">
            <w:pPr>
              <w:numPr>
                <w:ilvl w:val="2"/>
                <w:numId w:val="33"/>
              </w:numPr>
              <w:rPr>
                <w:iCs/>
                <w:lang w:val="en-US"/>
              </w:rPr>
            </w:pPr>
            <w:r w:rsidRPr="00B45E3B">
              <w:rPr>
                <w:iCs/>
                <w:lang w:val="en-US"/>
              </w:rPr>
              <w:t>Set 2: FFS</w:t>
            </w:r>
          </w:p>
          <w:p w14:paraId="31F223F6" w14:textId="77777777" w:rsidR="00B45E3B" w:rsidRPr="00B45E3B" w:rsidRDefault="00B45E3B" w:rsidP="00B45E3B">
            <w:pPr>
              <w:numPr>
                <w:ilvl w:val="3"/>
                <w:numId w:val="33"/>
              </w:numPr>
              <w:rPr>
                <w:lang w:val="en-US"/>
              </w:rPr>
            </w:pPr>
            <w:r w:rsidRPr="00B45E3B">
              <w:rPr>
                <w:lang w:val="en-US"/>
              </w:rPr>
              <w:t>Parallel measurements on cells belonging to a different NGSO satellite than a serving satellite without scheduling restrictions on normal operations with the serving cell</w:t>
            </w:r>
          </w:p>
          <w:p w14:paraId="315A5E2C" w14:textId="77777777" w:rsidR="00B45E3B" w:rsidRPr="00B45E3B" w:rsidRDefault="00B45E3B" w:rsidP="00B45E3B">
            <w:pPr>
              <w:numPr>
                <w:ilvl w:val="3"/>
                <w:numId w:val="33"/>
              </w:numPr>
              <w:rPr>
                <w:lang w:val="en-US"/>
              </w:rPr>
            </w:pPr>
            <w:r w:rsidRPr="00B45E3B">
              <w:rPr>
                <w:lang w:val="en-US"/>
              </w:rPr>
              <w:t>Parallel measurements on multiple NGSO satellites within a SMTC</w:t>
            </w:r>
          </w:p>
          <w:p w14:paraId="20FC7CB2" w14:textId="77777777" w:rsidR="00B45E3B" w:rsidRPr="00B45E3B" w:rsidRDefault="00B45E3B" w:rsidP="00B45E3B">
            <w:pPr>
              <w:rPr>
                <w:lang w:val="en-US"/>
              </w:rPr>
            </w:pPr>
          </w:p>
        </w:tc>
      </w:tr>
    </w:tbl>
    <w:p w14:paraId="6F18D8EC" w14:textId="77777777" w:rsidR="00B45E3B" w:rsidRDefault="00B45E3B" w:rsidP="00B45E3B"/>
    <w:p w14:paraId="1792679E" w14:textId="4BA67C8B" w:rsidR="00B45E3B" w:rsidRDefault="000F66B7" w:rsidP="00B45E3B">
      <w:r>
        <w:t xml:space="preserve">We will first discuss the features provided in Set 1. </w:t>
      </w:r>
    </w:p>
    <w:p w14:paraId="48FD2BF5" w14:textId="1DCDDFD2" w:rsidR="000F66B7" w:rsidRDefault="000F66B7" w:rsidP="000F66B7">
      <w:pPr>
        <w:pStyle w:val="ListParagraph"/>
        <w:numPr>
          <w:ilvl w:val="0"/>
          <w:numId w:val="36"/>
        </w:numPr>
      </w:pPr>
      <w:r>
        <w:t xml:space="preserve">SMTC adjustment in idle/inactive: We see this feature as a paramount feature for the correct functioning of NTN measurements. In connected mode the NW may recur to TA reports to adjust the measurement objects configuration for helping the UEs to track the </w:t>
      </w:r>
      <w:proofErr w:type="spellStart"/>
      <w:r>
        <w:t>neighbor</w:t>
      </w:r>
      <w:proofErr w:type="spellEnd"/>
      <w:r>
        <w:t xml:space="preserve"> cells belonging to different satellites. In Idle mode, this is not possible. If this feature is not present, the UE will not be capable to adjust the SMTC window to measure a </w:t>
      </w:r>
      <w:proofErr w:type="spellStart"/>
      <w:r>
        <w:t>neighbor</w:t>
      </w:r>
      <w:proofErr w:type="spellEnd"/>
      <w:r>
        <w:t xml:space="preserve"> satellite as the differential propagation delay changes over time compared to the serving satellite. This feature, therefore, has to be made mandatory. </w:t>
      </w:r>
    </w:p>
    <w:p w14:paraId="503D6B96" w14:textId="2103619C" w:rsidR="000F66B7" w:rsidRDefault="000F66B7" w:rsidP="000F66B7">
      <w:pPr>
        <w:pStyle w:val="RAN4proposal"/>
      </w:pPr>
      <w:bookmarkStart w:id="10" w:name="_Toc189844404"/>
      <w:r>
        <w:t xml:space="preserve">SMTC adjustment in idle/inactive is mandatory in NTN and shall be kept mandatory for </w:t>
      </w:r>
      <w:proofErr w:type="spellStart"/>
      <w:r>
        <w:t>RedCap</w:t>
      </w:r>
      <w:proofErr w:type="spellEnd"/>
      <w:r>
        <w:t>.</w:t>
      </w:r>
      <w:bookmarkEnd w:id="10"/>
    </w:p>
    <w:p w14:paraId="1B055501" w14:textId="7301E479" w:rsidR="000F66B7" w:rsidRDefault="000F66B7" w:rsidP="000F66B7">
      <w:pPr>
        <w:pStyle w:val="ListParagraph"/>
        <w:numPr>
          <w:ilvl w:val="0"/>
          <w:numId w:val="36"/>
        </w:numPr>
      </w:pPr>
      <w:r>
        <w:t xml:space="preserve">Location-based measurement report trigger: It is an optional feature for NR over NTN, and shall be kept optional for </w:t>
      </w:r>
      <w:proofErr w:type="spellStart"/>
      <w:r>
        <w:t>RedCap</w:t>
      </w:r>
      <w:proofErr w:type="spellEnd"/>
      <w:r>
        <w:t xml:space="preserve"> UEs, as it might facilitate the mobility procedures when the near-far effect is not very pronounced, which is likely to be the case in NTN. </w:t>
      </w:r>
    </w:p>
    <w:p w14:paraId="71895766" w14:textId="7B42B5D9" w:rsidR="000F66B7" w:rsidRDefault="000F66B7" w:rsidP="000F66B7">
      <w:pPr>
        <w:pStyle w:val="ListParagraph"/>
        <w:numPr>
          <w:ilvl w:val="0"/>
          <w:numId w:val="36"/>
        </w:numPr>
      </w:pPr>
      <w:r>
        <w:t xml:space="preserve">Enhanced RRM requirements for measurements in Idle and Inactive: Likewise, this is also an optional feature in NR over NTN, and shall be kept optional for </w:t>
      </w:r>
      <w:proofErr w:type="spellStart"/>
      <w:r>
        <w:t>RedCap</w:t>
      </w:r>
      <w:proofErr w:type="spellEnd"/>
      <w:r>
        <w:t xml:space="preserve"> devices. Although the feature might produce enhanced results in earth-moving cell scenarios, we could compromise in not defining RRM requirements for this feature related to redcap devices. </w:t>
      </w:r>
    </w:p>
    <w:p w14:paraId="4AE140D9" w14:textId="200761D7" w:rsidR="000F66B7" w:rsidRDefault="000F66B7" w:rsidP="000F66B7">
      <w:pPr>
        <w:pStyle w:val="RAN4proposal"/>
      </w:pPr>
      <w:bookmarkStart w:id="11" w:name="_Toc189844405"/>
      <w:r>
        <w:t xml:space="preserve">Location-based measurement trigger is kept optional in </w:t>
      </w:r>
      <w:proofErr w:type="spellStart"/>
      <w:r>
        <w:t>RedCap</w:t>
      </w:r>
      <w:proofErr w:type="spellEnd"/>
      <w:r>
        <w:t xml:space="preserve"> over NTN, and RAN4 will define requirements for this feature.</w:t>
      </w:r>
      <w:bookmarkEnd w:id="11"/>
      <w:r>
        <w:t xml:space="preserve"> </w:t>
      </w:r>
    </w:p>
    <w:p w14:paraId="04AE6A10" w14:textId="5C4B91DA" w:rsidR="000F66B7" w:rsidRDefault="000F66B7" w:rsidP="000F66B7">
      <w:pPr>
        <w:pStyle w:val="RAN4proposal"/>
      </w:pPr>
      <w:bookmarkStart w:id="12" w:name="_Toc189844406"/>
      <w:r>
        <w:t>Enhanced RRM requirements for measurements in IDLE and INACTIVE modes is kept optional in Redcap over NTN.</w:t>
      </w:r>
      <w:bookmarkEnd w:id="12"/>
      <w:r>
        <w:t xml:space="preserve"> </w:t>
      </w:r>
    </w:p>
    <w:p w14:paraId="1FD80A1C" w14:textId="77777777" w:rsidR="000F66B7" w:rsidRDefault="000F66B7" w:rsidP="000F66B7"/>
    <w:p w14:paraId="6A3CE679" w14:textId="22F26FD9" w:rsidR="000F66B7" w:rsidRPr="000F66B7" w:rsidRDefault="000F66B7" w:rsidP="000F66B7">
      <w:r>
        <w:t>The discussion of set 2 and regarding the number of satellites to be measured by UE is provided in this document in sections 2.3 and 2.4</w:t>
      </w:r>
    </w:p>
    <w:p w14:paraId="6C9B1A9F" w14:textId="785152C1" w:rsidR="002B2F7F" w:rsidRDefault="002B2F7F" w:rsidP="002B2F7F">
      <w:pPr>
        <w:pStyle w:val="RAN4H2"/>
      </w:pPr>
      <w:r w:rsidRPr="002B2F7F">
        <w:t>Multiple SMTCs</w:t>
      </w:r>
    </w:p>
    <w:p w14:paraId="025F22D3" w14:textId="5D003200" w:rsidR="002B2F7F" w:rsidRDefault="002B2F7F" w:rsidP="002B2F7F">
      <w:r>
        <w:t xml:space="preserve">RAN4 has discussed whether to adopt the current set of capabilities existent for NR over NTN to </w:t>
      </w:r>
      <w:proofErr w:type="spellStart"/>
      <w:r>
        <w:t>RedCap</w:t>
      </w:r>
      <w:proofErr w:type="spellEnd"/>
      <w:r>
        <w:t xml:space="preserve"> UEs over NTN. During this discussion a problem has been raised regarding the adoption of multiple configured SMTCs per </w:t>
      </w:r>
      <w:proofErr w:type="spellStart"/>
      <w:r>
        <w:t>RedCap</w:t>
      </w:r>
      <w:proofErr w:type="spellEnd"/>
      <w:r>
        <w:t xml:space="preserve"> UE.  Companies have agreed that the RAN4 will define RRM requirements for multiple SMTC-s for a single </w:t>
      </w:r>
      <w:r>
        <w:lastRenderedPageBreak/>
        <w:t xml:space="preserve">frequency carrier for </w:t>
      </w:r>
      <w:proofErr w:type="spellStart"/>
      <w:r>
        <w:t>RedCap</w:t>
      </w:r>
      <w:proofErr w:type="spellEnd"/>
      <w:r>
        <w:t xml:space="preserve"> UE, but no consensus was reached regarding whether a </w:t>
      </w:r>
      <w:proofErr w:type="spellStart"/>
      <w:r>
        <w:t>RedCap</w:t>
      </w:r>
      <w:proofErr w:type="spellEnd"/>
      <w:r>
        <w:t xml:space="preserve"> UE is capable of supporting the feature of parallel measurements on multiple NGSO satellites within a SMTC</w:t>
      </w:r>
      <w:r w:rsidR="00B26A76">
        <w:t>:</w:t>
      </w:r>
    </w:p>
    <w:p w14:paraId="7F4E8343" w14:textId="77777777" w:rsidR="002B2F7F" w:rsidRPr="002B2F7F" w:rsidRDefault="002B2F7F" w:rsidP="002B2F7F"/>
    <w:tbl>
      <w:tblPr>
        <w:tblStyle w:val="TableGrid"/>
        <w:tblW w:w="0" w:type="auto"/>
        <w:tblLook w:val="04A0" w:firstRow="1" w:lastRow="0" w:firstColumn="1" w:lastColumn="0" w:noHBand="0" w:noVBand="1"/>
      </w:tblPr>
      <w:tblGrid>
        <w:gridCol w:w="9617"/>
      </w:tblGrid>
      <w:tr w:rsidR="002B2F7F" w:rsidRPr="002B2F7F" w14:paraId="20A18352" w14:textId="77777777" w:rsidTr="002B2F7F">
        <w:tc>
          <w:tcPr>
            <w:tcW w:w="9617" w:type="dxa"/>
          </w:tcPr>
          <w:p w14:paraId="51838699" w14:textId="77777777" w:rsidR="002B2F7F" w:rsidRPr="002B2F7F" w:rsidRDefault="002B2F7F" w:rsidP="002B2F7F">
            <w:pPr>
              <w:rPr>
                <w:lang w:val="en-US"/>
              </w:rPr>
            </w:pPr>
            <w:r w:rsidRPr="002B2F7F">
              <w:rPr>
                <w:rFonts w:hint="eastAsia"/>
                <w:lang w:val="en-US"/>
              </w:rPr>
              <w:t> </w:t>
            </w:r>
            <w:r w:rsidRPr="002B2F7F">
              <w:rPr>
                <w:i/>
                <w:iCs/>
                <w:lang w:val="en-US"/>
              </w:rPr>
              <w:t>Online agreement</w:t>
            </w:r>
          </w:p>
          <w:p w14:paraId="3DCF8A2D" w14:textId="77777777" w:rsidR="002B2F7F" w:rsidRPr="002B2F7F" w:rsidRDefault="002B2F7F" w:rsidP="002B2F7F">
            <w:pPr>
              <w:rPr>
                <w:b/>
                <w:lang w:val="en-US"/>
              </w:rPr>
            </w:pPr>
            <w:r w:rsidRPr="002B2F7F">
              <w:rPr>
                <w:b/>
                <w:lang w:val="en-US"/>
              </w:rPr>
              <w:t>&lt;Agreements&gt;:</w:t>
            </w:r>
          </w:p>
          <w:p w14:paraId="5DF4BE15" w14:textId="77777777" w:rsidR="002B2F7F" w:rsidRPr="002B2F7F" w:rsidRDefault="002B2F7F" w:rsidP="002B2F7F">
            <w:pPr>
              <w:numPr>
                <w:ilvl w:val="0"/>
                <w:numId w:val="33"/>
              </w:numPr>
              <w:rPr>
                <w:lang w:val="en-US"/>
              </w:rPr>
            </w:pPr>
            <w:r w:rsidRPr="002B2F7F">
              <w:rPr>
                <w:lang w:val="en-US"/>
              </w:rPr>
              <w:t>RAN4 to define RRM requirements for multiple SMTC-s for a single frequency carrier for (e)</w:t>
            </w:r>
            <w:proofErr w:type="spellStart"/>
            <w:r w:rsidRPr="002B2F7F">
              <w:rPr>
                <w:lang w:val="en-US"/>
              </w:rPr>
              <w:t>RedCap</w:t>
            </w:r>
            <w:proofErr w:type="spellEnd"/>
            <w:r w:rsidRPr="002B2F7F">
              <w:rPr>
                <w:lang w:val="en-US"/>
              </w:rPr>
              <w:t xml:space="preserve"> UEs.</w:t>
            </w:r>
          </w:p>
          <w:p w14:paraId="112D0E63" w14:textId="77777777" w:rsidR="002B2F7F" w:rsidRPr="002B2F7F" w:rsidRDefault="002B2F7F" w:rsidP="002B2F7F">
            <w:pPr>
              <w:numPr>
                <w:ilvl w:val="0"/>
                <w:numId w:val="33"/>
              </w:numPr>
              <w:rPr>
                <w:lang w:val="en-US"/>
              </w:rPr>
            </w:pPr>
            <w:r w:rsidRPr="002B2F7F">
              <w:rPr>
                <w:lang w:val="en-US"/>
              </w:rPr>
              <w:t>For whether to support parallel measurements on multiple NGSO satellites within a SMTC (Feature 25-5) for (e)</w:t>
            </w:r>
            <w:proofErr w:type="spellStart"/>
            <w:r w:rsidRPr="002B2F7F">
              <w:rPr>
                <w:lang w:val="en-US"/>
              </w:rPr>
              <w:t>RedCap</w:t>
            </w:r>
            <w:proofErr w:type="spellEnd"/>
            <w:r w:rsidRPr="002B2F7F">
              <w:rPr>
                <w:lang w:val="en-US"/>
              </w:rPr>
              <w:t xml:space="preserve"> UEs?</w:t>
            </w:r>
          </w:p>
          <w:p w14:paraId="088DAEE1" w14:textId="77777777" w:rsidR="002B2F7F" w:rsidRPr="002B2F7F" w:rsidRDefault="002B2F7F" w:rsidP="002B2F7F">
            <w:pPr>
              <w:numPr>
                <w:ilvl w:val="1"/>
                <w:numId w:val="33"/>
              </w:numPr>
              <w:rPr>
                <w:lang w:val="en-US"/>
              </w:rPr>
            </w:pPr>
            <w:r w:rsidRPr="002B2F7F">
              <w:rPr>
                <w:lang w:val="en-US"/>
              </w:rPr>
              <w:t xml:space="preserve">Option 1 (MTK, Xiaomi, Samsung, ZTE, Ericsson, LG, QC): Not support </w:t>
            </w:r>
          </w:p>
          <w:p w14:paraId="3E7AA915" w14:textId="77777777" w:rsidR="002B2F7F" w:rsidRPr="002B2F7F" w:rsidRDefault="002B2F7F" w:rsidP="002B2F7F">
            <w:pPr>
              <w:numPr>
                <w:ilvl w:val="1"/>
                <w:numId w:val="33"/>
              </w:numPr>
              <w:rPr>
                <w:lang w:val="en-US"/>
              </w:rPr>
            </w:pPr>
            <w:r w:rsidRPr="002B2F7F">
              <w:rPr>
                <w:lang w:val="en-US"/>
              </w:rPr>
              <w:t>Option 2 (HW, Nokia): FFS</w:t>
            </w:r>
          </w:p>
          <w:p w14:paraId="02B55F14" w14:textId="77777777" w:rsidR="002B2F7F" w:rsidRPr="002B2F7F" w:rsidRDefault="002B2F7F" w:rsidP="002B2F7F">
            <w:pPr>
              <w:numPr>
                <w:ilvl w:val="0"/>
                <w:numId w:val="33"/>
              </w:numPr>
              <w:rPr>
                <w:lang w:val="en-US"/>
              </w:rPr>
            </w:pPr>
            <w:r w:rsidRPr="002B2F7F">
              <w:rPr>
                <w:lang w:val="en-US"/>
              </w:rPr>
              <w:t>Further discuss the supported number of SMTCs, the number of cells and SSB, the number of supported satellites, the proximity distance between two SMTCs.</w:t>
            </w:r>
          </w:p>
          <w:p w14:paraId="030D2A95" w14:textId="77777777" w:rsidR="002B2F7F" w:rsidRPr="002B2F7F" w:rsidRDefault="002B2F7F" w:rsidP="002B2F7F">
            <w:pPr>
              <w:numPr>
                <w:ilvl w:val="0"/>
                <w:numId w:val="33"/>
              </w:numPr>
              <w:rPr>
                <w:lang w:val="en-US"/>
              </w:rPr>
            </w:pPr>
            <w:r w:rsidRPr="002B2F7F">
              <w:rPr>
                <w:lang w:val="en-US"/>
              </w:rPr>
              <w:t xml:space="preserve">Further discuss the specific measurement requirements, </w:t>
            </w:r>
            <w:proofErr w:type="spellStart"/>
            <w:r w:rsidRPr="002B2F7F">
              <w:rPr>
                <w:lang w:val="en-US"/>
              </w:rPr>
              <w:t>i.e</w:t>
            </w:r>
            <w:proofErr w:type="spellEnd"/>
            <w:r w:rsidRPr="002B2F7F">
              <w:rPr>
                <w:lang w:val="en-US"/>
              </w:rPr>
              <w:t xml:space="preserve">, whether and how to extend measurement period. </w:t>
            </w:r>
          </w:p>
          <w:p w14:paraId="2B273EF8" w14:textId="77777777" w:rsidR="002B2F7F" w:rsidRPr="002B2F7F" w:rsidRDefault="002B2F7F" w:rsidP="002B2F7F">
            <w:pPr>
              <w:numPr>
                <w:ilvl w:val="0"/>
                <w:numId w:val="33"/>
              </w:numPr>
              <w:rPr>
                <w:lang w:val="en-US"/>
              </w:rPr>
            </w:pPr>
            <w:r w:rsidRPr="002B2F7F">
              <w:rPr>
                <w:lang w:val="en-US"/>
              </w:rPr>
              <w:t>Further discuss other R17 NTN UE capabilities (</w:t>
            </w:r>
            <w:proofErr w:type="spellStart"/>
            <w:r w:rsidRPr="002B2F7F">
              <w:rPr>
                <w:lang w:val="en-US"/>
              </w:rPr>
              <w:t>i.e</w:t>
            </w:r>
            <w:proofErr w:type="spellEnd"/>
            <w:r w:rsidRPr="002B2F7F">
              <w:rPr>
                <w:lang w:val="en-US"/>
              </w:rPr>
              <w:t>, Feature 25-2/25-3) related to 'in parallel'.</w:t>
            </w:r>
          </w:p>
          <w:p w14:paraId="771FF907" w14:textId="77777777" w:rsidR="002B2F7F" w:rsidRPr="002B2F7F" w:rsidRDefault="002B2F7F" w:rsidP="002B2F7F">
            <w:pPr>
              <w:rPr>
                <w:lang w:val="en-US"/>
              </w:rPr>
            </w:pPr>
          </w:p>
        </w:tc>
      </w:tr>
    </w:tbl>
    <w:p w14:paraId="606BE26E" w14:textId="77777777" w:rsidR="002B2F7F" w:rsidRDefault="002B2F7F" w:rsidP="002B2F7F"/>
    <w:p w14:paraId="37A99424" w14:textId="6E0B1897" w:rsidR="00B26A76" w:rsidRDefault="00B26A76" w:rsidP="002B2F7F">
      <w:r>
        <w:t xml:space="preserve">In general, most capabilities available for NR UEs are also available for </w:t>
      </w:r>
      <w:proofErr w:type="spellStart"/>
      <w:r>
        <w:t>RedCap</w:t>
      </w:r>
      <w:proofErr w:type="spellEnd"/>
      <w:r>
        <w:t xml:space="preserve"> UEs, unless stated otherwise. The limitation of </w:t>
      </w:r>
      <w:proofErr w:type="spellStart"/>
      <w:r>
        <w:t>RedCap</w:t>
      </w:r>
      <w:proofErr w:type="spellEnd"/>
      <w:r>
        <w:t xml:space="preserve"> capabilities sometimes is related to limited technical feasibility due to the reduced capabilities in such devices. </w:t>
      </w:r>
    </w:p>
    <w:p w14:paraId="4F9ABB37" w14:textId="45ABCD17" w:rsidR="00B26A76" w:rsidRDefault="00B26A76" w:rsidP="002B2F7F">
      <w:r>
        <w:t xml:space="preserve">Although </w:t>
      </w:r>
      <w:proofErr w:type="spellStart"/>
      <w:r>
        <w:t>RedCap</w:t>
      </w:r>
      <w:proofErr w:type="spellEnd"/>
      <w:r>
        <w:t xml:space="preserve"> UEs are expected to possess limited capabilities compared to a NR UE, some </w:t>
      </w:r>
      <w:proofErr w:type="spellStart"/>
      <w:r>
        <w:t>RedCap</w:t>
      </w:r>
      <w:proofErr w:type="spellEnd"/>
      <w:r>
        <w:t xml:space="preserve"> UEs are provided with 2RX antennas, and are capable of implementing more complex receivers. The capability for parallel measurements on multiple NGSO within one SMTC is optional and is not expected to be implemented by every UE. But there is no technical reason to prevent this capability of being implemented by a terminal. Therefore, we propose:</w:t>
      </w:r>
    </w:p>
    <w:p w14:paraId="56CD2BA0" w14:textId="5FA10991" w:rsidR="00B26A76" w:rsidRDefault="00B26A76" w:rsidP="00B26A76">
      <w:pPr>
        <w:pStyle w:val="RAN4proposal"/>
      </w:pPr>
      <w:bookmarkStart w:id="13" w:name="_Toc189844407"/>
      <w:r>
        <w:t xml:space="preserve">Support for parallel measurements on multiple NGSO satellites can be supported by </w:t>
      </w:r>
      <w:proofErr w:type="spellStart"/>
      <w:r>
        <w:t>RedCap</w:t>
      </w:r>
      <w:proofErr w:type="spellEnd"/>
      <w:r>
        <w:t xml:space="preserve"> UEs.</w:t>
      </w:r>
      <w:bookmarkEnd w:id="13"/>
      <w:r>
        <w:t xml:space="preserve"> </w:t>
      </w:r>
    </w:p>
    <w:p w14:paraId="4D9FD65E" w14:textId="0926ABC3" w:rsidR="00B26A76" w:rsidRDefault="00B26A76" w:rsidP="00B26A76">
      <w:r>
        <w:t xml:space="preserve">Another related discussion regards the number of satellites to be measured per </w:t>
      </w:r>
      <w:proofErr w:type="spellStart"/>
      <w:r>
        <w:t>RedCap</w:t>
      </w:r>
      <w:proofErr w:type="spellEnd"/>
      <w:r>
        <w:t xml:space="preserve"> device. </w:t>
      </w:r>
      <w:r w:rsidR="00B75BD7">
        <w:t xml:space="preserve">NTN UEs might be capable to </w:t>
      </w:r>
      <w:r w:rsidR="00E87933">
        <w:t>measure</w:t>
      </w:r>
      <w:r w:rsidR="00B75BD7">
        <w:t xml:space="preserve"> at least </w:t>
      </w:r>
      <w:r w:rsidR="00E87933">
        <w:t>two</w:t>
      </w:r>
      <w:r w:rsidR="00B75BD7">
        <w:t xml:space="preserve"> satellite per available SMTC in a single frequency, </w:t>
      </w:r>
      <w:r w:rsidR="00E87933">
        <w:t>including the serving satellite. Therefore, the total number of satellites to be measured must be at least equal to N+1, where N is the number of SMTCs configured for measurement in this frequency layer.</w:t>
      </w:r>
    </w:p>
    <w:p w14:paraId="629EBF4F" w14:textId="2A0F6129" w:rsidR="00B75BD7" w:rsidRDefault="00B75BD7" w:rsidP="00B75BD7">
      <w:pPr>
        <w:pStyle w:val="RAN4proposal"/>
      </w:pPr>
      <w:bookmarkStart w:id="14" w:name="_Toc189844408"/>
      <w:proofErr w:type="spellStart"/>
      <w:r>
        <w:t>RedCap</w:t>
      </w:r>
      <w:proofErr w:type="spellEnd"/>
      <w:r>
        <w:t xml:space="preserve"> UEs shall support at least one NGSO satellite per SMTC configured in a frequency layer</w:t>
      </w:r>
      <w:r w:rsidR="00E87933">
        <w:t xml:space="preserve"> in addition to the serving satellite.</w:t>
      </w:r>
      <w:bookmarkEnd w:id="14"/>
    </w:p>
    <w:p w14:paraId="283707A3" w14:textId="215E79D6" w:rsidR="00B75BD7" w:rsidRDefault="00B75BD7" w:rsidP="00B75BD7">
      <w:pPr>
        <w:pStyle w:val="RAN4proposal"/>
      </w:pPr>
      <w:bookmarkStart w:id="15" w:name="_Toc189844409"/>
      <w:r>
        <w:t xml:space="preserve">The total number of supported satellites for measurement in a frequency layer  </w:t>
      </w:r>
      <w:r w:rsidR="00E87933">
        <w:t>is equal to N+1 where N is the number of configured SMTCs, if the serving satellite is to be measured in this frequency layer and N if the serving satellite is not to be measured in this frequency layer.</w:t>
      </w:r>
      <w:bookmarkEnd w:id="15"/>
      <w:r w:rsidR="00E87933">
        <w:t xml:space="preserve"> </w:t>
      </w:r>
      <w:r>
        <w:t xml:space="preserve"> </w:t>
      </w:r>
    </w:p>
    <w:p w14:paraId="1EBA99B5" w14:textId="77777777" w:rsidR="00B75BD7" w:rsidRPr="00B75BD7" w:rsidRDefault="00B75BD7" w:rsidP="00B75BD7"/>
    <w:p w14:paraId="4CFD8A3C" w14:textId="62B71EE3" w:rsidR="00B26A76" w:rsidRDefault="00B75BD7" w:rsidP="00B75BD7">
      <w:pPr>
        <w:pStyle w:val="RAN4H2"/>
      </w:pPr>
      <w:r w:rsidRPr="00B75BD7">
        <w:t>The impact on NR Handover due to HD-FDD</w:t>
      </w:r>
    </w:p>
    <w:p w14:paraId="37011744" w14:textId="77777777" w:rsidR="00B75BD7" w:rsidRDefault="00B75BD7" w:rsidP="00B75BD7">
      <w:r>
        <w:t>When analysing the impact of HD-FDD on mobility requirements (HO, CHO, Satellite Switch with re-sync), several companies have proposed that:</w:t>
      </w:r>
    </w:p>
    <w:p w14:paraId="078165B0" w14:textId="05647517" w:rsidR="00B75BD7" w:rsidRPr="00B75BD7" w:rsidRDefault="00B75BD7" w:rsidP="00B75BD7">
      <w:pPr>
        <w:rPr>
          <w:bCs/>
          <w:i/>
          <w:iCs/>
          <w:lang w:val="en-US"/>
        </w:rPr>
      </w:pPr>
      <w:r w:rsidRPr="00B75BD7">
        <w:rPr>
          <w:i/>
          <w:iCs/>
        </w:rPr>
        <w:t>“</w:t>
      </w:r>
      <w:r w:rsidRPr="00B75BD7">
        <w:rPr>
          <w:i/>
          <w:iCs/>
          <w:lang w:val="en-US"/>
        </w:rPr>
        <w:t xml:space="preserve">For </w:t>
      </w:r>
      <w:proofErr w:type="spellStart"/>
      <w:r w:rsidRPr="00B75BD7">
        <w:rPr>
          <w:i/>
          <w:iCs/>
          <w:lang w:val="en-US"/>
        </w:rPr>
        <w:t>RedCap</w:t>
      </w:r>
      <w:proofErr w:type="spellEnd"/>
      <w:r w:rsidRPr="00B75BD7">
        <w:rPr>
          <w:i/>
          <w:iCs/>
          <w:lang w:val="en-US"/>
        </w:rPr>
        <w:t xml:space="preserve"> NTN UE with HD-FDD, the requirements are met provided that the </w:t>
      </w:r>
      <w:r w:rsidRPr="00B75BD7">
        <w:rPr>
          <w:bCs/>
          <w:i/>
          <w:iCs/>
          <w:lang w:val="en-US"/>
        </w:rPr>
        <w:t xml:space="preserve">SSB is available at the UE once every SMTC period during </w:t>
      </w:r>
      <w:proofErr w:type="spellStart"/>
      <w:r w:rsidRPr="00B75BD7">
        <w:rPr>
          <w:bCs/>
          <w:i/>
          <w:iCs/>
          <w:lang w:val="en-US"/>
        </w:rPr>
        <w:t>T</w:t>
      </w:r>
      <w:r w:rsidRPr="00B75BD7">
        <w:rPr>
          <w:bCs/>
          <w:i/>
          <w:iCs/>
          <w:vertAlign w:val="subscript"/>
          <w:lang w:val="en-US"/>
        </w:rPr>
        <w:t>search</w:t>
      </w:r>
      <w:proofErr w:type="spellEnd"/>
      <w:r w:rsidRPr="00B75BD7">
        <w:rPr>
          <w:i/>
          <w:iCs/>
        </w:rPr>
        <w:t>”</w:t>
      </w:r>
    </w:p>
    <w:p w14:paraId="1B253B30" w14:textId="588C81E4" w:rsidR="002B2F7F" w:rsidRDefault="00B75BD7" w:rsidP="002B2F7F">
      <w:r>
        <w:t xml:space="preserve">This requirement is derived from early HD-FDD applicability in terrestrial networks. But there is a technical concern in adapting this requirement directly to NTN scenarios. </w:t>
      </w:r>
    </w:p>
    <w:p w14:paraId="79BF87FE" w14:textId="53588193" w:rsidR="00B75BD7" w:rsidRDefault="00B75BD7" w:rsidP="002B2F7F">
      <w:r>
        <w:t xml:space="preserve">Differently from TN, in NTN scenarios, </w:t>
      </w:r>
      <w:r w:rsidR="00E87933">
        <w:t>if UEs support more than one satellite per SMTC, and therefore, if the UE cannot support simultaneously measurements from two different satellites (feature 25-5) within the same SMTC, then the SMTC is to be shared by multiple satellites (</w:t>
      </w:r>
      <w:proofErr w:type="spellStart"/>
      <w:r w:rsidR="00E87933">
        <w:t>K_multi</w:t>
      </w:r>
      <w:proofErr w:type="spellEnd"/>
      <w:r w:rsidR="00E87933">
        <w:t xml:space="preserve"> factor).</w:t>
      </w:r>
      <w:r w:rsidR="00B45E3B">
        <w:t xml:space="preserve"> This indicates that there might be further scheduling restriction when the UE is measuring </w:t>
      </w:r>
      <w:proofErr w:type="spellStart"/>
      <w:r w:rsidR="00B45E3B">
        <w:t>neighbor</w:t>
      </w:r>
      <w:proofErr w:type="spellEnd"/>
      <w:r w:rsidR="00B45E3B">
        <w:t xml:space="preserve"> satellites.</w:t>
      </w:r>
      <w:r w:rsidR="00E87933">
        <w:t xml:space="preserve"> Therefore, </w:t>
      </w:r>
      <w:r w:rsidR="00B45E3B">
        <w:t xml:space="preserve">depending on how “availability” is defined, it cannot be guaranteed that one SSB will be available at the UE once every SMTC period. </w:t>
      </w:r>
    </w:p>
    <w:p w14:paraId="302DC295" w14:textId="57AB7AE5" w:rsidR="00B45E3B" w:rsidRDefault="00B45E3B" w:rsidP="00B45E3B">
      <w:pPr>
        <w:pStyle w:val="RAN4proposal"/>
      </w:pPr>
      <w:bookmarkStart w:id="16" w:name="_Toc189844410"/>
      <w:r>
        <w:lastRenderedPageBreak/>
        <w:t>For NTN UEs with HD-FDD, the requirements are met provided that the SSB of at least one of the satellites to be measured in this SMTC period is available at the UE side.</w:t>
      </w:r>
      <w:bookmarkEnd w:id="16"/>
      <w:r>
        <w:t xml:space="preserve">  </w:t>
      </w:r>
    </w:p>
    <w:p w14:paraId="059E1881" w14:textId="77777777" w:rsidR="00B75BD7" w:rsidRPr="002B2F7F" w:rsidRDefault="00B75BD7" w:rsidP="002B2F7F"/>
    <w:p w14:paraId="4526AF8E" w14:textId="64D395BB" w:rsidR="00307EE8" w:rsidRPr="002B2F7F" w:rsidRDefault="00084260" w:rsidP="00307EE8">
      <w:pPr>
        <w:pStyle w:val="RAN4H2"/>
      </w:pPr>
      <w:r w:rsidRPr="002B2F7F">
        <w:t>Others</w:t>
      </w:r>
    </w:p>
    <w:p w14:paraId="52859ED1" w14:textId="619828B8" w:rsidR="002B2F7F" w:rsidRPr="002B2F7F" w:rsidRDefault="002B2F7F" w:rsidP="003872B1">
      <w:pPr>
        <w:rPr>
          <w:lang w:val="en-US"/>
        </w:rPr>
      </w:pPr>
      <w:bookmarkStart w:id="17" w:name="_Toc181990344"/>
      <w:r w:rsidRPr="002B2F7F">
        <w:rPr>
          <w:lang w:val="en-US"/>
        </w:rPr>
        <w:t xml:space="preserve">The WF is currently debating the best way to incorporate </w:t>
      </w:r>
      <w:proofErr w:type="spellStart"/>
      <w:r w:rsidRPr="002B2F7F">
        <w:rPr>
          <w:lang w:val="en-US"/>
        </w:rPr>
        <w:t>RedCap</w:t>
      </w:r>
      <w:proofErr w:type="spellEnd"/>
      <w:r w:rsidRPr="002B2F7F">
        <w:rPr>
          <w:lang w:val="en-US"/>
        </w:rPr>
        <w:t xml:space="preserve"> over NTN specifications within the existing TS 38.133 document. Two options are being considered:</w:t>
      </w:r>
    </w:p>
    <w:p w14:paraId="6B2AA312" w14:textId="77777777" w:rsidR="002B2F7F" w:rsidRPr="003872B1" w:rsidRDefault="002B2F7F" w:rsidP="003872B1">
      <w:pPr>
        <w:pStyle w:val="ListParagraph"/>
        <w:numPr>
          <w:ilvl w:val="0"/>
          <w:numId w:val="37"/>
        </w:numPr>
        <w:rPr>
          <w:lang w:val="en-US"/>
        </w:rPr>
      </w:pPr>
      <w:r w:rsidRPr="003872B1">
        <w:rPr>
          <w:lang w:val="en-US"/>
        </w:rPr>
        <w:t xml:space="preserve">New Suffix: Creating a new suffix (e.g., "E") for </w:t>
      </w:r>
      <w:proofErr w:type="spellStart"/>
      <w:r w:rsidRPr="003872B1">
        <w:rPr>
          <w:lang w:val="en-US"/>
        </w:rPr>
        <w:t>RedCap</w:t>
      </w:r>
      <w:proofErr w:type="spellEnd"/>
      <w:r w:rsidRPr="003872B1">
        <w:rPr>
          <w:lang w:val="en-US"/>
        </w:rPr>
        <w:t xml:space="preserve"> over NTN specifications.</w:t>
      </w:r>
    </w:p>
    <w:p w14:paraId="5DBEE000" w14:textId="77777777" w:rsidR="002B2F7F" w:rsidRPr="003872B1" w:rsidRDefault="002B2F7F" w:rsidP="003872B1">
      <w:pPr>
        <w:pStyle w:val="ListParagraph"/>
        <w:numPr>
          <w:ilvl w:val="0"/>
          <w:numId w:val="37"/>
        </w:numPr>
        <w:rPr>
          <w:lang w:val="en-US"/>
        </w:rPr>
      </w:pPr>
      <w:r w:rsidRPr="003872B1">
        <w:rPr>
          <w:lang w:val="en-US"/>
        </w:rPr>
        <w:t>New Subclauses: Adding new subclauses to the existing NTN clauses within TS 38.133.</w:t>
      </w:r>
    </w:p>
    <w:p w14:paraId="738A9A9F" w14:textId="77777777" w:rsidR="002B2F7F" w:rsidRPr="002B2F7F" w:rsidRDefault="002B2F7F" w:rsidP="003872B1">
      <w:pPr>
        <w:rPr>
          <w:b/>
          <w:iCs/>
          <w:szCs w:val="18"/>
          <w:lang w:val="en-US"/>
        </w:rPr>
      </w:pPr>
      <w:r w:rsidRPr="002B2F7F">
        <w:t xml:space="preserve">To minimize the specification effort and maintain a concise document, we propose inserting </w:t>
      </w:r>
      <w:proofErr w:type="spellStart"/>
      <w:r w:rsidRPr="002B2F7F">
        <w:t>RedCap</w:t>
      </w:r>
      <w:proofErr w:type="spellEnd"/>
      <w:r w:rsidRPr="002B2F7F">
        <w:t xml:space="preserve"> subclauses as subsections within the existing NTN section (suffix C). This approach ensures a coherent and complete specification while keeping the document size manageable.</w:t>
      </w:r>
    </w:p>
    <w:p w14:paraId="05191DF3" w14:textId="4D2730DE" w:rsidR="00084260" w:rsidRDefault="00084260" w:rsidP="00084260">
      <w:pPr>
        <w:pStyle w:val="RAN4proposal"/>
        <w:rPr>
          <w:lang w:val="en-US"/>
        </w:rPr>
      </w:pPr>
      <w:bookmarkStart w:id="18" w:name="_Toc189844411"/>
      <w:r>
        <w:rPr>
          <w:lang w:val="en-US"/>
        </w:rPr>
        <w:t xml:space="preserve">Adopt </w:t>
      </w:r>
      <w:proofErr w:type="spellStart"/>
      <w:r>
        <w:rPr>
          <w:lang w:val="en-US"/>
        </w:rPr>
        <w:t>RedCap</w:t>
      </w:r>
      <w:proofErr w:type="spellEnd"/>
      <w:r>
        <w:rPr>
          <w:lang w:val="en-US"/>
        </w:rPr>
        <w:t xml:space="preserve"> subclauses under NTN sections (under Suffix C).</w:t>
      </w:r>
      <w:bookmarkEnd w:id="17"/>
      <w:bookmarkEnd w:id="18"/>
      <w:r>
        <w:rPr>
          <w:lang w:val="en-US"/>
        </w:rPr>
        <w:t xml:space="preserve"> </w:t>
      </w:r>
    </w:p>
    <w:p w14:paraId="2F9E9EE3" w14:textId="1E4C338F" w:rsidR="00084260" w:rsidRDefault="002B2F7F" w:rsidP="00084260">
      <w:pPr>
        <w:rPr>
          <w:lang w:val="en-US"/>
        </w:rPr>
      </w:pPr>
      <w:r>
        <w:rPr>
          <w:lang w:val="en-US"/>
        </w:rPr>
        <w:t xml:space="preserve">Another point of discussion in the WF is the </w:t>
      </w:r>
      <w:r w:rsidRPr="002B2F7F">
        <w:rPr>
          <w:lang w:val="en-US"/>
        </w:rPr>
        <w:t xml:space="preserve">applicability of </w:t>
      </w:r>
      <w:proofErr w:type="spellStart"/>
      <w:r w:rsidRPr="002B2F7F">
        <w:rPr>
          <w:lang w:val="en-US"/>
        </w:rPr>
        <w:t>RedCap</w:t>
      </w:r>
      <w:proofErr w:type="spellEnd"/>
      <w:r w:rsidRPr="002B2F7F">
        <w:rPr>
          <w:lang w:val="en-US"/>
        </w:rPr>
        <w:t xml:space="preserve"> requirements under NTN needs further discussion. For a UE to support </w:t>
      </w:r>
      <w:proofErr w:type="spellStart"/>
      <w:r w:rsidRPr="002B2F7F">
        <w:rPr>
          <w:lang w:val="en-US"/>
        </w:rPr>
        <w:t>RedCap</w:t>
      </w:r>
      <w:proofErr w:type="spellEnd"/>
      <w:r w:rsidRPr="002B2F7F">
        <w:rPr>
          <w:lang w:val="en-US"/>
        </w:rPr>
        <w:t xml:space="preserve"> over NTN, it must support both </w:t>
      </w:r>
      <w:proofErr w:type="spellStart"/>
      <w:r w:rsidRPr="002B2F7F">
        <w:rPr>
          <w:lang w:val="en-US"/>
        </w:rPr>
        <w:t>RedCap</w:t>
      </w:r>
      <w:proofErr w:type="spellEnd"/>
      <w:r w:rsidRPr="002B2F7F">
        <w:rPr>
          <w:lang w:val="en-US"/>
        </w:rPr>
        <w:t xml:space="preserve"> and NTN features. </w:t>
      </w:r>
    </w:p>
    <w:p w14:paraId="7342395D" w14:textId="77777777" w:rsidR="00084260" w:rsidRPr="00CA0833" w:rsidRDefault="00084260" w:rsidP="00084260">
      <w:pPr>
        <w:pStyle w:val="ListParagraph"/>
        <w:numPr>
          <w:ilvl w:val="0"/>
          <w:numId w:val="31"/>
        </w:numPr>
        <w:rPr>
          <w:b/>
          <w:i/>
          <w:lang w:val="en-US"/>
        </w:rPr>
      </w:pPr>
      <w:r w:rsidRPr="00C5751D">
        <w:rPr>
          <w:lang w:val="en-US"/>
        </w:rPr>
        <w:t xml:space="preserve">Option A: Declare support of </w:t>
      </w:r>
      <w:proofErr w:type="spellStart"/>
      <w:r w:rsidRPr="00C5751D">
        <w:rPr>
          <w:lang w:val="en-US"/>
        </w:rPr>
        <w:t>RedCap</w:t>
      </w:r>
      <w:proofErr w:type="spellEnd"/>
      <w:r w:rsidRPr="00C5751D">
        <w:rPr>
          <w:lang w:val="en-US"/>
        </w:rPr>
        <w:t xml:space="preserve"> (</w:t>
      </w:r>
      <w:r w:rsidRPr="00C5751D">
        <w:rPr>
          <w:b/>
          <w:bCs/>
          <w:i/>
          <w:iCs/>
        </w:rPr>
        <w:t xml:space="preserve">supportOfRedCap-r17 </w:t>
      </w:r>
      <w:r>
        <w:t xml:space="preserve">or </w:t>
      </w:r>
      <w:r w:rsidRPr="00C5751D">
        <w:rPr>
          <w:b/>
          <w:bCs/>
          <w:i/>
          <w:iCs/>
          <w:lang w:val="en-US"/>
        </w:rPr>
        <w:t>supportOfERedCap-r18</w:t>
      </w:r>
      <w:r w:rsidRPr="00C5751D">
        <w:rPr>
          <w:lang w:val="en-US"/>
        </w:rPr>
        <w:t>) AND declare support of NTN (</w:t>
      </w:r>
      <w:r w:rsidRPr="00CA0833">
        <w:rPr>
          <w:b/>
          <w:i/>
          <w:lang w:val="en-US"/>
        </w:rPr>
        <w:t>nonTerrestrialNetwork-r17</w:t>
      </w:r>
      <w:r w:rsidRPr="00CA0833">
        <w:rPr>
          <w:lang w:val="en-US"/>
        </w:rPr>
        <w:t>)</w:t>
      </w:r>
    </w:p>
    <w:p w14:paraId="4E9F88E4" w14:textId="77777777" w:rsidR="00084260" w:rsidRDefault="00084260" w:rsidP="00084260">
      <w:pPr>
        <w:pStyle w:val="ListParagraph"/>
        <w:numPr>
          <w:ilvl w:val="0"/>
          <w:numId w:val="31"/>
        </w:numPr>
      </w:pPr>
      <w:r w:rsidRPr="00C5751D">
        <w:t xml:space="preserve">Option B: Declare explicitly – via a new </w:t>
      </w:r>
      <w:r>
        <w:t xml:space="preserve">capability – the support to </w:t>
      </w:r>
      <w:proofErr w:type="spellStart"/>
      <w:r>
        <w:t>RedCap</w:t>
      </w:r>
      <w:proofErr w:type="spellEnd"/>
      <w:r>
        <w:t xml:space="preserve"> over NTN.</w:t>
      </w:r>
    </w:p>
    <w:p w14:paraId="768EDDE2" w14:textId="3670D85E" w:rsidR="002B2F7F" w:rsidRDefault="00084260" w:rsidP="002B2F7F">
      <w:r>
        <w:t xml:space="preserve">Both options have their pros and cons (flexibility versus capability signalling overhead). </w:t>
      </w:r>
      <w:bookmarkStart w:id="19" w:name="_Toc181990345"/>
      <w:r w:rsidR="002B2F7F">
        <w:t xml:space="preserve">The first option allows for less signalling overhead and less capabilities declaration. However, it is less flexible as it does not allow a UE that is NTN capable to be TN Redcap capable only. It also ensues from option B that if a UE supports </w:t>
      </w:r>
      <w:proofErr w:type="spellStart"/>
      <w:r w:rsidR="002B2F7F">
        <w:t>RedCap</w:t>
      </w:r>
      <w:proofErr w:type="spellEnd"/>
      <w:r w:rsidR="002B2F7F">
        <w:t xml:space="preserve"> over NTN, it must support </w:t>
      </w:r>
      <w:proofErr w:type="spellStart"/>
      <w:r w:rsidR="002B2F7F">
        <w:t>RedCap</w:t>
      </w:r>
      <w:proofErr w:type="spellEnd"/>
      <w:r w:rsidR="002B2F7F">
        <w:t xml:space="preserve"> over TN, which might not be always the case. </w:t>
      </w:r>
    </w:p>
    <w:p w14:paraId="2AE8B6AD" w14:textId="70BF4356" w:rsidR="002B2F7F" w:rsidRDefault="002B2F7F" w:rsidP="002B2F7F">
      <w:r>
        <w:t xml:space="preserve">In order to leverage the most flexibility on the capability indication, we propose to adopt option B. </w:t>
      </w:r>
    </w:p>
    <w:p w14:paraId="18BC49E0" w14:textId="4ACC91CF" w:rsidR="00084260" w:rsidRPr="005E1FD5" w:rsidRDefault="002B2F7F" w:rsidP="002B2F7F">
      <w:pPr>
        <w:pStyle w:val="RAN4proposal"/>
      </w:pPr>
      <w:bookmarkStart w:id="20" w:name="_Toc189844412"/>
      <w:bookmarkEnd w:id="19"/>
      <w:r w:rsidRPr="005E1FD5">
        <w:t xml:space="preserve">Introduce new capability to declare support over </w:t>
      </w:r>
      <w:proofErr w:type="spellStart"/>
      <w:r w:rsidRPr="005E1FD5">
        <w:t>RedCap</w:t>
      </w:r>
      <w:proofErr w:type="spellEnd"/>
      <w:r w:rsidRPr="005E1FD5">
        <w:t xml:space="preserve"> over NTN.</w:t>
      </w:r>
      <w:bookmarkEnd w:id="20"/>
    </w:p>
    <w:p w14:paraId="26033926" w14:textId="77777777" w:rsidR="0060543D" w:rsidRPr="008F786B" w:rsidRDefault="0060543D" w:rsidP="0060543D"/>
    <w:p w14:paraId="64B43601" w14:textId="77777777" w:rsidR="0060543D" w:rsidRPr="008F786B" w:rsidRDefault="0060543D" w:rsidP="0060543D"/>
    <w:p w14:paraId="70889DFA" w14:textId="77777777" w:rsidR="00893D2E" w:rsidRPr="008F786B" w:rsidRDefault="00893D2E">
      <w:pPr>
        <w:rPr>
          <w:rFonts w:ascii="Arial" w:eastAsia="SimSun" w:hAnsi="Arial" w:cs="Times New Roman"/>
          <w:sz w:val="36"/>
          <w:szCs w:val="20"/>
        </w:rPr>
      </w:pPr>
      <w:bookmarkStart w:id="21" w:name="_Toc116995848"/>
      <w:r w:rsidRPr="008F786B">
        <w:br w:type="page"/>
      </w:r>
    </w:p>
    <w:p w14:paraId="442162F3" w14:textId="77777777" w:rsidR="00CD7492" w:rsidRPr="008F786B" w:rsidRDefault="00CD7492" w:rsidP="00A37002">
      <w:pPr>
        <w:pStyle w:val="RAN4H1"/>
      </w:pPr>
      <w:r w:rsidRPr="008F786B">
        <w:lastRenderedPageBreak/>
        <w:t>Conclusion</w:t>
      </w:r>
      <w:bookmarkEnd w:id="21"/>
    </w:p>
    <w:p w14:paraId="4FDDEA1B" w14:textId="6598D927" w:rsidR="00381F95" w:rsidRPr="008F786B" w:rsidRDefault="005E1FD5" w:rsidP="00936159">
      <w:r>
        <w:t xml:space="preserve">This paper has analysed some of the open issues provided in the WF for this WI </w:t>
      </w:r>
      <w:r>
        <w:fldChar w:fldCharType="begin"/>
      </w:r>
      <w:r>
        <w:instrText xml:space="preserve"> REF _Ref189756666 \r \h </w:instrText>
      </w:r>
      <w:r>
        <w:fldChar w:fldCharType="separate"/>
      </w:r>
      <w:r>
        <w:t>[4]</w:t>
      </w:r>
      <w:r>
        <w:fldChar w:fldCharType="end"/>
      </w:r>
      <w:r>
        <w:t>, and the following set of observation and proposals are made:</w:t>
      </w:r>
    </w:p>
    <w:p w14:paraId="0F6AE1E2" w14:textId="77777777" w:rsidR="00381F95" w:rsidRPr="008F786B" w:rsidRDefault="00381F95" w:rsidP="00936159"/>
    <w:p w14:paraId="662E77B8" w14:textId="3404DA20" w:rsidR="00CF2F1D"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44401" w:history="1">
        <w:r w:rsidR="00CF2F1D" w:rsidRPr="00324691">
          <w:rPr>
            <w:rStyle w:val="Hyperlink"/>
            <w:noProof/>
          </w:rPr>
          <w:t>Proposal 1: RAN4 to confirm with RAN2 whether the RSRP-based TA validation in CG-SDT shall be removed from RRM requirements.</w:t>
        </w:r>
      </w:hyperlink>
    </w:p>
    <w:p w14:paraId="1FB3AC1B" w14:textId="202E9445"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2" w:history="1">
        <w:r w:rsidRPr="00324691">
          <w:rPr>
            <w:rStyle w:val="Hyperlink"/>
            <w:noProof/>
          </w:rPr>
          <w:t>Proposal 2: Confirm with RAN2 whether similar validation criteria as used for PUR in IoT NTN can be used for CG-SDT in NTN.</w:t>
        </w:r>
      </w:hyperlink>
    </w:p>
    <w:p w14:paraId="4ADE4E9E" w14:textId="7336EC21"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3" w:history="1">
        <w:r w:rsidRPr="00324691">
          <w:rPr>
            <w:rStyle w:val="Hyperlink"/>
            <w:noProof/>
          </w:rPr>
          <w:t>Proposal 3: Do not specify MDT for RedCap over NTN</w:t>
        </w:r>
      </w:hyperlink>
    </w:p>
    <w:p w14:paraId="4D7ACFD3" w14:textId="2EF7B589"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4" w:history="1">
        <w:r w:rsidRPr="00324691">
          <w:rPr>
            <w:rStyle w:val="Hyperlink"/>
            <w:noProof/>
          </w:rPr>
          <w:t>Proposal 4: SMTC adjustment in idle/inactive is mandatory in NTN and shall be kept mandatory for RedCap.</w:t>
        </w:r>
      </w:hyperlink>
    </w:p>
    <w:p w14:paraId="7B83B5FA" w14:textId="338411FB"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5" w:history="1">
        <w:r w:rsidRPr="00324691">
          <w:rPr>
            <w:rStyle w:val="Hyperlink"/>
            <w:noProof/>
          </w:rPr>
          <w:t>Proposal 5: Location-based measurement trigger is kept optional in RedCap over NTN, and RAN4 will define requirements for this feature.</w:t>
        </w:r>
      </w:hyperlink>
    </w:p>
    <w:p w14:paraId="06E94058" w14:textId="17FB7D84"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6" w:history="1">
        <w:r w:rsidRPr="00324691">
          <w:rPr>
            <w:rStyle w:val="Hyperlink"/>
            <w:noProof/>
          </w:rPr>
          <w:t>Proposal 6: Enhanced RRM requirements for measurements in IDLE and INACTIVE modes is kept optional in Redcap over NTN.</w:t>
        </w:r>
      </w:hyperlink>
    </w:p>
    <w:p w14:paraId="3D5621A6" w14:textId="0C4E919A"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7" w:history="1">
        <w:r w:rsidRPr="00324691">
          <w:rPr>
            <w:rStyle w:val="Hyperlink"/>
            <w:noProof/>
          </w:rPr>
          <w:t>Proposal 7: Support for parallel measurements on multiple NGSO satellites can be supported by RedCap UEs.</w:t>
        </w:r>
      </w:hyperlink>
    </w:p>
    <w:p w14:paraId="2C55A131" w14:textId="1E7A7AE5"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8" w:history="1">
        <w:r w:rsidRPr="00324691">
          <w:rPr>
            <w:rStyle w:val="Hyperlink"/>
            <w:noProof/>
          </w:rPr>
          <w:t>Proposal 8: RedCap UEs shall support at least one NGSO satellite per SMTC configured in a frequency layer in addition to the serving satellite.</w:t>
        </w:r>
      </w:hyperlink>
    </w:p>
    <w:p w14:paraId="6C159E01" w14:textId="577E9F3D"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09" w:history="1">
        <w:r w:rsidRPr="00324691">
          <w:rPr>
            <w:rStyle w:val="Hyperlink"/>
            <w:noProof/>
          </w:rPr>
          <w:t>Proposal 9: The total number of supported satellites for measurement in a frequency layer  is equal to N+1 where N is the number of configured SMTCs, if the serving satellite is to be measured in this frequency layer and N if the serving satellite is not to be measured in this frequency layer.</w:t>
        </w:r>
      </w:hyperlink>
    </w:p>
    <w:p w14:paraId="145B77F7" w14:textId="05EA9EE6"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10" w:history="1">
        <w:r w:rsidRPr="00324691">
          <w:rPr>
            <w:rStyle w:val="Hyperlink"/>
            <w:noProof/>
          </w:rPr>
          <w:t>Proposal 10: For NTN UEs with HD-FDD, the requirements are met provided that the SSB of at least one of the satellites to be measured in this SMTC period is available at the UE side.</w:t>
        </w:r>
      </w:hyperlink>
    </w:p>
    <w:p w14:paraId="1415EBEA" w14:textId="38C23957"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11" w:history="1">
        <w:r w:rsidRPr="00324691">
          <w:rPr>
            <w:rStyle w:val="Hyperlink"/>
            <w:noProof/>
            <w:lang w:val="en-US"/>
          </w:rPr>
          <w:t>Proposal 11: Adopt RedCap subclauses under NTN sections (under Suffix C).</w:t>
        </w:r>
      </w:hyperlink>
    </w:p>
    <w:p w14:paraId="280837CA" w14:textId="43898497" w:rsidR="00CF2F1D" w:rsidRDefault="00CF2F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44412" w:history="1">
        <w:r w:rsidRPr="00324691">
          <w:rPr>
            <w:rStyle w:val="Hyperlink"/>
            <w:noProof/>
          </w:rPr>
          <w:t>Proposal 12: Introduce new capability to declare support over RedCap over NTN.</w:t>
        </w:r>
      </w:hyperlink>
    </w:p>
    <w:p w14:paraId="257ABB91" w14:textId="5E511AAB" w:rsidR="00847264" w:rsidRPr="008F786B" w:rsidRDefault="00A4355E" w:rsidP="008C39F7">
      <w:r w:rsidRPr="008F786B">
        <w:fldChar w:fldCharType="end"/>
      </w:r>
      <w:bookmarkStart w:id="22" w:name="_Toc116995849"/>
    </w:p>
    <w:p w14:paraId="707A64F1" w14:textId="77777777" w:rsidR="003B659E" w:rsidRPr="008F786B" w:rsidRDefault="003B659E" w:rsidP="0060543D">
      <w:pPr>
        <w:pStyle w:val="RAN4H1"/>
        <w:numPr>
          <w:ilvl w:val="0"/>
          <w:numId w:val="0"/>
        </w:numPr>
        <w:ind w:left="360" w:hanging="360"/>
      </w:pPr>
      <w:r w:rsidRPr="008F786B">
        <w:t>References</w:t>
      </w:r>
      <w:bookmarkEnd w:id="22"/>
    </w:p>
    <w:p w14:paraId="02EC34BA" w14:textId="77777777" w:rsidR="00084260" w:rsidRDefault="00084260" w:rsidP="00084260">
      <w:pPr>
        <w:pStyle w:val="ListParagraph"/>
        <w:numPr>
          <w:ilvl w:val="0"/>
          <w:numId w:val="21"/>
        </w:numPr>
        <w:ind w:right="-22"/>
        <w:rPr>
          <w:lang w:val="en-US"/>
        </w:rPr>
      </w:pPr>
      <w:bookmarkStart w:id="23" w:name="_Ref114500673"/>
      <w:bookmarkStart w:id="24" w:name="_Ref178945353"/>
      <w:bookmarkEnd w:id="23"/>
      <w:r w:rsidRPr="00E42B45">
        <w:rPr>
          <w:lang w:val="en-US"/>
        </w:rPr>
        <w:t>RP-234078, New WID: Non-Terrestrial Networks (NTN) for NR Phase 3, Huawei</w:t>
      </w:r>
      <w:bookmarkEnd w:id="24"/>
    </w:p>
    <w:p w14:paraId="3AAF69B6" w14:textId="77777777" w:rsidR="00084260" w:rsidRPr="00992CE7" w:rsidRDefault="00084260" w:rsidP="00084260">
      <w:pPr>
        <w:pStyle w:val="ListParagraph"/>
        <w:numPr>
          <w:ilvl w:val="0"/>
          <w:numId w:val="21"/>
        </w:numPr>
        <w:ind w:right="-22"/>
        <w:rPr>
          <w:lang w:val="en-US"/>
        </w:rPr>
      </w:pPr>
      <w:bookmarkStart w:id="25" w:name="_Ref178945346"/>
      <w:r w:rsidRPr="00E42B45">
        <w:rPr>
          <w:lang w:val="en-US"/>
        </w:rPr>
        <w:t>RP-241789</w:t>
      </w:r>
      <w:r>
        <w:rPr>
          <w:lang w:val="en-US"/>
        </w:rPr>
        <w:t xml:space="preserve"> </w:t>
      </w:r>
      <w:r w:rsidRPr="00E42B45">
        <w:rPr>
          <w:lang w:val="en-US"/>
        </w:rPr>
        <w:t>Revised WID: Non-Terrestrial Networks (NTN) for NR Phase 3, Thales, CATT</w:t>
      </w:r>
      <w:bookmarkEnd w:id="25"/>
    </w:p>
    <w:p w14:paraId="7677300D" w14:textId="77777777" w:rsidR="00084260" w:rsidRPr="00203F19" w:rsidRDefault="00084260" w:rsidP="00084260">
      <w:pPr>
        <w:pStyle w:val="ListParagraph"/>
        <w:numPr>
          <w:ilvl w:val="0"/>
          <w:numId w:val="21"/>
        </w:numPr>
        <w:ind w:right="-22"/>
        <w:rPr>
          <w:lang w:val="en-US"/>
        </w:rPr>
      </w:pPr>
      <w:bookmarkStart w:id="26" w:name="_Ref179019130"/>
      <w:r w:rsidRPr="00992CE7">
        <w:t xml:space="preserve">R4-2414037, </w:t>
      </w:r>
      <w:r w:rsidRPr="00992CE7">
        <w:rPr>
          <w:i/>
          <w:iCs/>
        </w:rPr>
        <w:t>"The WF on RRM requirements for Rel-19 NR NTN phase3"</w:t>
      </w:r>
      <w:r w:rsidRPr="00992CE7">
        <w:t>, Moderator (CATT), RAN4 #112, Maastricht, Netherlands, Aug. 19-23, 2024.</w:t>
      </w:r>
      <w:bookmarkEnd w:id="26"/>
    </w:p>
    <w:p w14:paraId="227F6564" w14:textId="0605E57F" w:rsidR="00E82B94" w:rsidRPr="008F786B" w:rsidRDefault="00084260" w:rsidP="00D66188">
      <w:pPr>
        <w:pStyle w:val="ListParagraph"/>
        <w:numPr>
          <w:ilvl w:val="0"/>
          <w:numId w:val="21"/>
        </w:numPr>
        <w:ind w:right="-22"/>
      </w:pPr>
      <w:bookmarkStart w:id="27" w:name="_Ref181977965"/>
      <w:bookmarkStart w:id="28" w:name="_Ref189756666"/>
      <w:r w:rsidRPr="00084260">
        <w:rPr>
          <w:lang w:val="en-US"/>
        </w:rPr>
        <w:t xml:space="preserve">R4-2420104, “WF on RRM requirements for NR_NTN_Ph3_Part1”, </w:t>
      </w:r>
      <w:bookmarkEnd w:id="27"/>
      <w:r w:rsidRPr="00084260">
        <w:rPr>
          <w:lang w:val="en-US"/>
        </w:rPr>
        <w:t>Orlando , US, Nov 18 – 22, 2024</w:t>
      </w:r>
      <w:bookmarkEnd w:id="28"/>
    </w:p>
    <w:p w14:paraId="0610DC47"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8657" w14:textId="77777777" w:rsidR="00B044EA" w:rsidRDefault="00B044EA" w:rsidP="00001C9B">
      <w:pPr>
        <w:spacing w:after="0" w:line="240" w:lineRule="auto"/>
      </w:pPr>
      <w:r>
        <w:separator/>
      </w:r>
    </w:p>
  </w:endnote>
  <w:endnote w:type="continuationSeparator" w:id="0">
    <w:p w14:paraId="313EDDD8" w14:textId="77777777" w:rsidR="00B044EA" w:rsidRDefault="00B044EA" w:rsidP="00001C9B">
      <w:pPr>
        <w:spacing w:after="0" w:line="240" w:lineRule="auto"/>
      </w:pPr>
      <w:r>
        <w:continuationSeparator/>
      </w:r>
    </w:p>
  </w:endnote>
  <w:endnote w:type="continuationNotice" w:id="1">
    <w:p w14:paraId="7D66E555" w14:textId="77777777" w:rsidR="003D1987" w:rsidRDefault="003D19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F5D4" w14:textId="77777777" w:rsidR="00B044EA" w:rsidRDefault="00B044EA" w:rsidP="00001C9B">
      <w:pPr>
        <w:spacing w:after="0" w:line="240" w:lineRule="auto"/>
      </w:pPr>
      <w:r>
        <w:separator/>
      </w:r>
    </w:p>
  </w:footnote>
  <w:footnote w:type="continuationSeparator" w:id="0">
    <w:p w14:paraId="231C59D1" w14:textId="77777777" w:rsidR="00B044EA" w:rsidRDefault="00B044EA" w:rsidP="00001C9B">
      <w:pPr>
        <w:spacing w:after="0" w:line="240" w:lineRule="auto"/>
      </w:pPr>
      <w:r>
        <w:continuationSeparator/>
      </w:r>
    </w:p>
  </w:footnote>
  <w:footnote w:type="continuationNotice" w:id="1">
    <w:p w14:paraId="788B1454" w14:textId="77777777" w:rsidR="003D1987" w:rsidRDefault="003D19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B02"/>
    <w:multiLevelType w:val="hybridMultilevel"/>
    <w:tmpl w:val="D7101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17450"/>
    <w:multiLevelType w:val="hybridMultilevel"/>
    <w:tmpl w:val="5A0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30372C"/>
    <w:multiLevelType w:val="hybridMultilevel"/>
    <w:tmpl w:val="C0DE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783C64"/>
    <w:multiLevelType w:val="hybridMultilevel"/>
    <w:tmpl w:val="04E04C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BF4273"/>
    <w:multiLevelType w:val="multilevel"/>
    <w:tmpl w:val="DF50B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DE058F"/>
    <w:multiLevelType w:val="hybridMultilevel"/>
    <w:tmpl w:val="BEC6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32647"/>
    <w:multiLevelType w:val="multilevel"/>
    <w:tmpl w:val="7E932647"/>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num w:numId="1" w16cid:durableId="166945348">
    <w:abstractNumId w:val="2"/>
  </w:num>
  <w:num w:numId="2" w16cid:durableId="1469392472">
    <w:abstractNumId w:val="9"/>
  </w:num>
  <w:num w:numId="3" w16cid:durableId="1792749823">
    <w:abstractNumId w:val="15"/>
  </w:num>
  <w:num w:numId="4" w16cid:durableId="517735681">
    <w:abstractNumId w:val="8"/>
  </w:num>
  <w:num w:numId="5" w16cid:durableId="1142041724">
    <w:abstractNumId w:val="19"/>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7"/>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2"/>
  </w:num>
  <w:num w:numId="28" w16cid:durableId="2095668156">
    <w:abstractNumId w:val="4"/>
  </w:num>
  <w:num w:numId="29" w16cid:durableId="194316087">
    <w:abstractNumId w:val="14"/>
  </w:num>
  <w:num w:numId="30" w16cid:durableId="1927878243">
    <w:abstractNumId w:val="23"/>
  </w:num>
  <w:num w:numId="31" w16cid:durableId="599415540">
    <w:abstractNumId w:val="7"/>
  </w:num>
  <w:num w:numId="32" w16cid:durableId="1216357586">
    <w:abstractNumId w:val="20"/>
  </w:num>
  <w:num w:numId="33" w16cid:durableId="620913752">
    <w:abstractNumId w:val="16"/>
  </w:num>
  <w:num w:numId="34" w16cid:durableId="1755668908">
    <w:abstractNumId w:val="12"/>
  </w:num>
  <w:num w:numId="35" w16cid:durableId="764034174">
    <w:abstractNumId w:val="24"/>
  </w:num>
  <w:num w:numId="36" w16cid:durableId="1190724127">
    <w:abstractNumId w:val="5"/>
  </w:num>
  <w:num w:numId="37" w16cid:durableId="203293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044EA"/>
    <w:rsid w:val="00001C9B"/>
    <w:rsid w:val="000040DC"/>
    <w:rsid w:val="00011784"/>
    <w:rsid w:val="000151EF"/>
    <w:rsid w:val="000239F5"/>
    <w:rsid w:val="000646BC"/>
    <w:rsid w:val="00072CCA"/>
    <w:rsid w:val="0007601C"/>
    <w:rsid w:val="00081544"/>
    <w:rsid w:val="00084260"/>
    <w:rsid w:val="0008612A"/>
    <w:rsid w:val="00090E18"/>
    <w:rsid w:val="000A10BC"/>
    <w:rsid w:val="000A7F53"/>
    <w:rsid w:val="000B0056"/>
    <w:rsid w:val="000C3C7B"/>
    <w:rsid w:val="000D0F93"/>
    <w:rsid w:val="000F66B7"/>
    <w:rsid w:val="00106416"/>
    <w:rsid w:val="00110481"/>
    <w:rsid w:val="001127C9"/>
    <w:rsid w:val="00114498"/>
    <w:rsid w:val="00115B88"/>
    <w:rsid w:val="00132F6A"/>
    <w:rsid w:val="00133913"/>
    <w:rsid w:val="00140221"/>
    <w:rsid w:val="00161913"/>
    <w:rsid w:val="001642FC"/>
    <w:rsid w:val="0016496B"/>
    <w:rsid w:val="001743E2"/>
    <w:rsid w:val="001745F8"/>
    <w:rsid w:val="001838CF"/>
    <w:rsid w:val="001868EE"/>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B2F7F"/>
    <w:rsid w:val="002B4922"/>
    <w:rsid w:val="002B69F3"/>
    <w:rsid w:val="002C22C3"/>
    <w:rsid w:val="002C2D19"/>
    <w:rsid w:val="002D10FA"/>
    <w:rsid w:val="002D4C55"/>
    <w:rsid w:val="002E6DED"/>
    <w:rsid w:val="00300956"/>
    <w:rsid w:val="003025C4"/>
    <w:rsid w:val="00307EE8"/>
    <w:rsid w:val="00317187"/>
    <w:rsid w:val="0032499A"/>
    <w:rsid w:val="00330EF1"/>
    <w:rsid w:val="003341F7"/>
    <w:rsid w:val="00347FEC"/>
    <w:rsid w:val="003509DF"/>
    <w:rsid w:val="00356F45"/>
    <w:rsid w:val="00366B74"/>
    <w:rsid w:val="003774C0"/>
    <w:rsid w:val="00381F95"/>
    <w:rsid w:val="003872B1"/>
    <w:rsid w:val="003A710A"/>
    <w:rsid w:val="003B659E"/>
    <w:rsid w:val="003C275E"/>
    <w:rsid w:val="003C4FDE"/>
    <w:rsid w:val="003D1987"/>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9466E"/>
    <w:rsid w:val="005B3029"/>
    <w:rsid w:val="005B4801"/>
    <w:rsid w:val="005C23A4"/>
    <w:rsid w:val="005C7EFA"/>
    <w:rsid w:val="005D0E4B"/>
    <w:rsid w:val="005D1CDF"/>
    <w:rsid w:val="005D2BB7"/>
    <w:rsid w:val="005D6FFE"/>
    <w:rsid w:val="005E1FD5"/>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4088"/>
    <w:rsid w:val="00847264"/>
    <w:rsid w:val="00851A8E"/>
    <w:rsid w:val="0085365B"/>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8DB"/>
    <w:rsid w:val="009E5FA9"/>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044EA"/>
    <w:rsid w:val="00B1710A"/>
    <w:rsid w:val="00B26A76"/>
    <w:rsid w:val="00B26A8A"/>
    <w:rsid w:val="00B408B6"/>
    <w:rsid w:val="00B45E3B"/>
    <w:rsid w:val="00B542DA"/>
    <w:rsid w:val="00B66B7D"/>
    <w:rsid w:val="00B73862"/>
    <w:rsid w:val="00B73F43"/>
    <w:rsid w:val="00B75BBF"/>
    <w:rsid w:val="00B75BD7"/>
    <w:rsid w:val="00B81CDC"/>
    <w:rsid w:val="00BA308C"/>
    <w:rsid w:val="00BA6B66"/>
    <w:rsid w:val="00BA6E48"/>
    <w:rsid w:val="00BE0AF6"/>
    <w:rsid w:val="00BE1F03"/>
    <w:rsid w:val="00BE58A7"/>
    <w:rsid w:val="00BF2218"/>
    <w:rsid w:val="00C0426B"/>
    <w:rsid w:val="00C045DF"/>
    <w:rsid w:val="00C26D43"/>
    <w:rsid w:val="00C35173"/>
    <w:rsid w:val="00C43F4A"/>
    <w:rsid w:val="00C46548"/>
    <w:rsid w:val="00C574D5"/>
    <w:rsid w:val="00C73F32"/>
    <w:rsid w:val="00C87462"/>
    <w:rsid w:val="00CA180C"/>
    <w:rsid w:val="00CB22B2"/>
    <w:rsid w:val="00CC3EE2"/>
    <w:rsid w:val="00CD6C0E"/>
    <w:rsid w:val="00CD7492"/>
    <w:rsid w:val="00CE3A6B"/>
    <w:rsid w:val="00CF2F1D"/>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5A77"/>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87933"/>
    <w:rsid w:val="00EA2311"/>
    <w:rsid w:val="00EC7BC3"/>
    <w:rsid w:val="00ED7600"/>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B69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33946">
      <w:bodyDiv w:val="1"/>
      <w:marLeft w:val="0"/>
      <w:marRight w:val="0"/>
      <w:marTop w:val="0"/>
      <w:marBottom w:val="0"/>
      <w:divBdr>
        <w:top w:val="none" w:sz="0" w:space="0" w:color="auto"/>
        <w:left w:val="none" w:sz="0" w:space="0" w:color="auto"/>
        <w:bottom w:val="none" w:sz="0" w:space="0" w:color="auto"/>
        <w:right w:val="none" w:sz="0" w:space="0" w:color="auto"/>
      </w:divBdr>
    </w:div>
    <w:div w:id="127817179">
      <w:bodyDiv w:val="1"/>
      <w:marLeft w:val="0"/>
      <w:marRight w:val="0"/>
      <w:marTop w:val="0"/>
      <w:marBottom w:val="0"/>
      <w:divBdr>
        <w:top w:val="none" w:sz="0" w:space="0" w:color="auto"/>
        <w:left w:val="none" w:sz="0" w:space="0" w:color="auto"/>
        <w:bottom w:val="none" w:sz="0" w:space="0" w:color="auto"/>
        <w:right w:val="none" w:sz="0" w:space="0" w:color="auto"/>
      </w:divBdr>
    </w:div>
    <w:div w:id="515078579">
      <w:bodyDiv w:val="1"/>
      <w:marLeft w:val="0"/>
      <w:marRight w:val="0"/>
      <w:marTop w:val="0"/>
      <w:marBottom w:val="0"/>
      <w:divBdr>
        <w:top w:val="none" w:sz="0" w:space="0" w:color="auto"/>
        <w:left w:val="none" w:sz="0" w:space="0" w:color="auto"/>
        <w:bottom w:val="none" w:sz="0" w:space="0" w:color="auto"/>
        <w:right w:val="none" w:sz="0" w:space="0" w:color="auto"/>
      </w:divBdr>
    </w:div>
    <w:div w:id="588540717">
      <w:bodyDiv w:val="1"/>
      <w:marLeft w:val="0"/>
      <w:marRight w:val="0"/>
      <w:marTop w:val="0"/>
      <w:marBottom w:val="0"/>
      <w:divBdr>
        <w:top w:val="none" w:sz="0" w:space="0" w:color="auto"/>
        <w:left w:val="none" w:sz="0" w:space="0" w:color="auto"/>
        <w:bottom w:val="none" w:sz="0" w:space="0" w:color="auto"/>
        <w:right w:val="none" w:sz="0" w:space="0" w:color="auto"/>
      </w:divBdr>
    </w:div>
    <w:div w:id="831800404">
      <w:bodyDiv w:val="1"/>
      <w:marLeft w:val="0"/>
      <w:marRight w:val="0"/>
      <w:marTop w:val="0"/>
      <w:marBottom w:val="0"/>
      <w:divBdr>
        <w:top w:val="none" w:sz="0" w:space="0" w:color="auto"/>
        <w:left w:val="none" w:sz="0" w:space="0" w:color="auto"/>
        <w:bottom w:val="none" w:sz="0" w:space="0" w:color="auto"/>
        <w:right w:val="none" w:sz="0" w:space="0" w:color="auto"/>
      </w:divBdr>
    </w:div>
    <w:div w:id="1168593651">
      <w:bodyDiv w:val="1"/>
      <w:marLeft w:val="0"/>
      <w:marRight w:val="0"/>
      <w:marTop w:val="0"/>
      <w:marBottom w:val="0"/>
      <w:divBdr>
        <w:top w:val="none" w:sz="0" w:space="0" w:color="auto"/>
        <w:left w:val="none" w:sz="0" w:space="0" w:color="auto"/>
        <w:bottom w:val="none" w:sz="0" w:space="0" w:color="auto"/>
        <w:right w:val="none" w:sz="0" w:space="0" w:color="auto"/>
      </w:divBdr>
    </w:div>
    <w:div w:id="1180049189">
      <w:bodyDiv w:val="1"/>
      <w:marLeft w:val="0"/>
      <w:marRight w:val="0"/>
      <w:marTop w:val="0"/>
      <w:marBottom w:val="0"/>
      <w:divBdr>
        <w:top w:val="none" w:sz="0" w:space="0" w:color="auto"/>
        <w:left w:val="none" w:sz="0" w:space="0" w:color="auto"/>
        <w:bottom w:val="none" w:sz="0" w:space="0" w:color="auto"/>
        <w:right w:val="none" w:sz="0" w:space="0" w:color="auto"/>
      </w:divBdr>
    </w:div>
    <w:div w:id="1190870589">
      <w:bodyDiv w:val="1"/>
      <w:marLeft w:val="0"/>
      <w:marRight w:val="0"/>
      <w:marTop w:val="0"/>
      <w:marBottom w:val="0"/>
      <w:divBdr>
        <w:top w:val="none" w:sz="0" w:space="0" w:color="auto"/>
        <w:left w:val="none" w:sz="0" w:space="0" w:color="auto"/>
        <w:bottom w:val="none" w:sz="0" w:space="0" w:color="auto"/>
        <w:right w:val="none" w:sz="0" w:space="0" w:color="auto"/>
      </w:divBdr>
    </w:div>
    <w:div w:id="1290161751">
      <w:bodyDiv w:val="1"/>
      <w:marLeft w:val="0"/>
      <w:marRight w:val="0"/>
      <w:marTop w:val="0"/>
      <w:marBottom w:val="0"/>
      <w:divBdr>
        <w:top w:val="none" w:sz="0" w:space="0" w:color="auto"/>
        <w:left w:val="none" w:sz="0" w:space="0" w:color="auto"/>
        <w:bottom w:val="none" w:sz="0" w:space="0" w:color="auto"/>
        <w:right w:val="none" w:sz="0" w:space="0" w:color="auto"/>
      </w:divBdr>
    </w:div>
    <w:div w:id="1295258675">
      <w:bodyDiv w:val="1"/>
      <w:marLeft w:val="0"/>
      <w:marRight w:val="0"/>
      <w:marTop w:val="0"/>
      <w:marBottom w:val="0"/>
      <w:divBdr>
        <w:top w:val="none" w:sz="0" w:space="0" w:color="auto"/>
        <w:left w:val="none" w:sz="0" w:space="0" w:color="auto"/>
        <w:bottom w:val="none" w:sz="0" w:space="0" w:color="auto"/>
        <w:right w:val="none" w:sz="0" w:space="0" w:color="auto"/>
      </w:divBdr>
    </w:div>
    <w:div w:id="1322152708">
      <w:bodyDiv w:val="1"/>
      <w:marLeft w:val="0"/>
      <w:marRight w:val="0"/>
      <w:marTop w:val="0"/>
      <w:marBottom w:val="0"/>
      <w:divBdr>
        <w:top w:val="none" w:sz="0" w:space="0" w:color="auto"/>
        <w:left w:val="none" w:sz="0" w:space="0" w:color="auto"/>
        <w:bottom w:val="none" w:sz="0" w:space="0" w:color="auto"/>
        <w:right w:val="none" w:sz="0" w:space="0" w:color="auto"/>
      </w:divBdr>
    </w:div>
    <w:div w:id="1323044027">
      <w:bodyDiv w:val="1"/>
      <w:marLeft w:val="0"/>
      <w:marRight w:val="0"/>
      <w:marTop w:val="0"/>
      <w:marBottom w:val="0"/>
      <w:divBdr>
        <w:top w:val="none" w:sz="0" w:space="0" w:color="auto"/>
        <w:left w:val="none" w:sz="0" w:space="0" w:color="auto"/>
        <w:bottom w:val="none" w:sz="0" w:space="0" w:color="auto"/>
        <w:right w:val="none" w:sz="0" w:space="0" w:color="auto"/>
      </w:divBdr>
    </w:div>
    <w:div w:id="1374234882">
      <w:bodyDiv w:val="1"/>
      <w:marLeft w:val="0"/>
      <w:marRight w:val="0"/>
      <w:marTop w:val="0"/>
      <w:marBottom w:val="0"/>
      <w:divBdr>
        <w:top w:val="none" w:sz="0" w:space="0" w:color="auto"/>
        <w:left w:val="none" w:sz="0" w:space="0" w:color="auto"/>
        <w:bottom w:val="none" w:sz="0" w:space="0" w:color="auto"/>
        <w:right w:val="none" w:sz="0" w:space="0" w:color="auto"/>
      </w:divBdr>
    </w:div>
    <w:div w:id="1628121207">
      <w:bodyDiv w:val="1"/>
      <w:marLeft w:val="0"/>
      <w:marRight w:val="0"/>
      <w:marTop w:val="0"/>
      <w:marBottom w:val="0"/>
      <w:divBdr>
        <w:top w:val="none" w:sz="0" w:space="0" w:color="auto"/>
        <w:left w:val="none" w:sz="0" w:space="0" w:color="auto"/>
        <w:bottom w:val="none" w:sz="0" w:space="0" w:color="auto"/>
        <w:right w:val="none" w:sz="0" w:space="0" w:color="auto"/>
      </w:divBdr>
    </w:div>
    <w:div w:id="203103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2502</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2025-02-07T15:25:00Z</dcterms:created>
  <dcterms:modified xsi:type="dcterms:W3CDTF">2025-02-07T17:13:00Z</dcterms:modified>
</cp:coreProperties>
</file>